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D2" w:rsidRDefault="001434D2" w:rsidP="001434D2">
      <w:pPr>
        <w:spacing w:before="120" w:after="0" w:line="240" w:lineRule="auto"/>
        <w:ind w:right="708"/>
        <w:rPr>
          <w:b/>
        </w:rPr>
      </w:pPr>
      <w:bookmarkStart w:id="0" w:name="_Toc516074462"/>
      <w:bookmarkStart w:id="1" w:name="_Ref510612023"/>
      <w:bookmarkStart w:id="2" w:name="_Ref510707458"/>
      <w:bookmarkStart w:id="3" w:name="_Toc511985073"/>
      <w:r>
        <w:t>KPT-DPiRI.271.3.2024</w:t>
      </w:r>
    </w:p>
    <w:p w:rsidR="005D4D90" w:rsidRPr="005D4D90" w:rsidRDefault="005D4D90" w:rsidP="005D4D90">
      <w:pPr>
        <w:spacing w:before="120" w:after="0" w:line="240" w:lineRule="auto"/>
        <w:ind w:right="708"/>
        <w:jc w:val="right"/>
        <w:rPr>
          <w:b/>
        </w:rPr>
      </w:pPr>
      <w:r w:rsidRPr="005D4D90">
        <w:rPr>
          <w:b/>
        </w:rPr>
        <w:t>Załącznik nr 1 do Zapytania Ofertowego</w:t>
      </w:r>
    </w:p>
    <w:p w:rsidR="005D4D90" w:rsidRDefault="005D4D90" w:rsidP="005D4D90">
      <w:pPr>
        <w:spacing w:before="120" w:after="0" w:line="240" w:lineRule="auto"/>
        <w:ind w:right="708"/>
      </w:pPr>
    </w:p>
    <w:p w:rsidR="005D4D90" w:rsidRPr="005D4D90" w:rsidRDefault="005D4D90" w:rsidP="005D4D90">
      <w:pPr>
        <w:spacing w:before="120" w:after="0" w:line="240" w:lineRule="auto"/>
        <w:ind w:right="708"/>
      </w:pPr>
    </w:p>
    <w:p w:rsidR="009B0E4B" w:rsidRPr="00601916" w:rsidRDefault="009B0E4B" w:rsidP="009B0E4B">
      <w:pPr>
        <w:pStyle w:val="Nagwek1"/>
        <w:numPr>
          <w:ilvl w:val="0"/>
          <w:numId w:val="0"/>
        </w:numPr>
        <w:jc w:val="center"/>
        <w:rPr>
          <w:color w:val="auto"/>
          <w:sz w:val="32"/>
        </w:rPr>
      </w:pPr>
      <w:r w:rsidRPr="00601916">
        <w:rPr>
          <w:color w:val="auto"/>
          <w:sz w:val="32"/>
        </w:rPr>
        <w:t xml:space="preserve">Opis przedmiotu zamówienia (OPZ) na </w:t>
      </w:r>
      <w:bookmarkEnd w:id="0"/>
      <w:r w:rsidRPr="00601916">
        <w:rPr>
          <w:color w:val="auto"/>
          <w:sz w:val="32"/>
        </w:rPr>
        <w:t>świadczenie usługi kompleksowego doradztwa publiczno – prywatnego dla inwestycji pn.: Rozbudowa Zespołu Inkubatorów Technologicznych KPT - Budowa Inkubatora California Inc.</w:t>
      </w:r>
    </w:p>
    <w:p w:rsidR="009B0E4B" w:rsidRPr="00EC36F4" w:rsidRDefault="009B0E4B" w:rsidP="009B0E4B">
      <w:pPr>
        <w:jc w:val="both"/>
        <w:rPr>
          <w:b/>
        </w:rPr>
      </w:pPr>
      <w:r w:rsidRPr="00601916">
        <w:t xml:space="preserve">Opis przedmiotu zamówienia (OPZ): świadczenie kompleksowego doradztwa dla strony publicznej przy przygotowaniu i realizacji projektu partnerstwa publiczno-prywatnego polegającego na zaprojektowaniu, budowie, finansowaniu i utrzymaniu obiektu kubaturowego użyteczności publicznej </w:t>
      </w:r>
      <w:r w:rsidRPr="00EC36F4">
        <w:rPr>
          <w:b/>
        </w:rPr>
        <w:t>o wartości nakładów inwestycyjnych powyżej 50 mln zł.</w:t>
      </w:r>
    </w:p>
    <w:p w:rsidR="00906272" w:rsidRPr="00BD28B2" w:rsidRDefault="00906272" w:rsidP="0090627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Przedmiotowy projekt realizowany będzie, jako projekt hybrydowy z dofinansowaniem unijnym, a także został wpisany na listę projektów priorytetowych Kontraktu Programowego Województwa Świętokrzyskiego.</w:t>
      </w:r>
    </w:p>
    <w:p w:rsidR="00582727" w:rsidRDefault="00582727" w:rsidP="009B0E4B">
      <w:pPr>
        <w:jc w:val="both"/>
      </w:pPr>
    </w:p>
    <w:p w:rsidR="00CD3837" w:rsidRPr="00C23F84" w:rsidRDefault="00CD3837" w:rsidP="00CD3837">
      <w:pPr>
        <w:spacing w:after="0" w:line="276" w:lineRule="auto"/>
        <w:jc w:val="both"/>
        <w:rPr>
          <w:rFonts w:ascii="Calibri" w:hAnsi="Calibri" w:cs="Calibri"/>
        </w:rPr>
      </w:pPr>
      <w:r w:rsidRPr="00A012F2">
        <w:rPr>
          <w:rFonts w:ascii="Calibri" w:hAnsi="Calibri" w:cs="Calibri"/>
        </w:rPr>
        <w:t xml:space="preserve">Zamawiający zastrzega, że w razie zaistnienia istotnej zmiany okoliczności powodującej, że wykonanie Umowy </w:t>
      </w:r>
      <w:r w:rsidR="00A012F2" w:rsidRPr="00A012F2">
        <w:rPr>
          <w:rFonts w:ascii="Calibri" w:hAnsi="Calibri" w:cs="Calibri"/>
        </w:rPr>
        <w:t>stanie się zbędne dla Zamawiającego</w:t>
      </w:r>
      <w:r w:rsidR="00582727" w:rsidRPr="00A012F2">
        <w:rPr>
          <w:rFonts w:ascii="Calibri" w:hAnsi="Calibri" w:cs="Calibri"/>
        </w:rPr>
        <w:t>, skorzysta z prawa do odstąpienia od umowy,  zaś zapłata dotyczyć będzie zleconych do wykonania i odebranych etapów zamówienia.</w:t>
      </w:r>
    </w:p>
    <w:p w:rsidR="00CD3837" w:rsidRPr="00601916" w:rsidRDefault="00CD3837" w:rsidP="009B0E4B">
      <w:pPr>
        <w:jc w:val="both"/>
      </w:pPr>
    </w:p>
    <w:p w:rsidR="009B0E4B" w:rsidRPr="00601916" w:rsidRDefault="009B0E4B" w:rsidP="009B0E4B">
      <w:pPr>
        <w:pStyle w:val="Nagwek2"/>
        <w:jc w:val="both"/>
        <w:rPr>
          <w:color w:val="auto"/>
          <w:szCs w:val="28"/>
        </w:rPr>
      </w:pPr>
      <w:r w:rsidRPr="00601916">
        <w:rPr>
          <w:color w:val="auto"/>
          <w:szCs w:val="28"/>
        </w:rPr>
        <w:t>Przedmiot zamówienia</w:t>
      </w:r>
      <w:bookmarkStart w:id="4" w:name="_GoBack"/>
      <w:bookmarkEnd w:id="4"/>
    </w:p>
    <w:p w:rsidR="009B0E4B" w:rsidRPr="00601916" w:rsidRDefault="009B0E4B" w:rsidP="009B0E4B">
      <w:pPr>
        <w:jc w:val="both"/>
        <w:rPr>
          <w:b/>
          <w:i/>
        </w:rPr>
      </w:pPr>
      <w:r w:rsidRPr="00601916">
        <w:t xml:space="preserve">Przedmiotem zamówienia jest zapewnienie kompleksowego doradztwa prawnego, ekonomiczno-finansowego oraz technicznego ("Kompleksowe Doradztwo") dla strony publicznej przy przygotowaniu i realizacji projektu partnerstwa publiczno-prywatnego obiektu kubaturowego użyteczności publicznej pod nazwą </w:t>
      </w:r>
      <w:r w:rsidRPr="00601916">
        <w:rPr>
          <w:b/>
        </w:rPr>
        <w:t>„Rozbudowa Zespołu Inkubatorów Technologicznych KPT - Budowa Inkubatora California Inc</w:t>
      </w:r>
      <w:r w:rsidRPr="00601916">
        <w:t>.“, zwanego dalej „</w:t>
      </w:r>
      <w:r w:rsidRPr="00601916">
        <w:rPr>
          <w:b/>
        </w:rPr>
        <w:t>Projektem PPP</w:t>
      </w:r>
      <w:r w:rsidRPr="00601916">
        <w:t xml:space="preserve">”. </w:t>
      </w:r>
    </w:p>
    <w:p w:rsidR="009B0E4B" w:rsidRPr="00601916" w:rsidRDefault="009B0E4B" w:rsidP="009B0E4B">
      <w:pPr>
        <w:jc w:val="both"/>
      </w:pPr>
      <w:r w:rsidRPr="00601916">
        <w:t xml:space="preserve">Wykonawca w ramach zamówienia zobowiązany jest przygotowywać i dostarczać </w:t>
      </w:r>
      <w:r w:rsidR="00E010D8" w:rsidRPr="00601916">
        <w:t>Zamawiającemu</w:t>
      </w:r>
      <w:r w:rsidRPr="00601916">
        <w:t xml:space="preserve"> wszystkie niezbędne materiały pisemne związane z wykonywaniem zamówienia, w szczególności:</w:t>
      </w:r>
    </w:p>
    <w:p w:rsidR="009B0E4B" w:rsidRPr="00601916" w:rsidRDefault="009B0E4B" w:rsidP="009B0E4B">
      <w:pPr>
        <w:pStyle w:val="Listapunktowana"/>
        <w:ind w:left="426" w:hanging="284"/>
        <w:jc w:val="both"/>
      </w:pPr>
      <w:r w:rsidRPr="00601916">
        <w:t>analizy, opracowania, notatki, prezentacje, zestawienia, projekty pism, harmonogramów i inne;</w:t>
      </w:r>
    </w:p>
    <w:p w:rsidR="009B0E4B" w:rsidRPr="00601916" w:rsidRDefault="009B0E4B" w:rsidP="009B0E4B">
      <w:pPr>
        <w:pStyle w:val="Listapunktowana"/>
        <w:ind w:left="426" w:hanging="284"/>
        <w:jc w:val="both"/>
      </w:pPr>
      <w:r w:rsidRPr="00601916">
        <w:t>notatek sprawozdawczych.</w:t>
      </w:r>
    </w:p>
    <w:p w:rsidR="009B0E4B" w:rsidRPr="00601916" w:rsidRDefault="009B0E4B" w:rsidP="009B0E4B">
      <w:pPr>
        <w:jc w:val="both"/>
        <w:rPr>
          <w:b/>
        </w:rPr>
      </w:pPr>
      <w:r w:rsidRPr="00601916">
        <w:rPr>
          <w:b/>
        </w:rPr>
        <w:t xml:space="preserve">Wykonawca w zakresie zamówienia będzie uczestniczył w spotkaniach roboczych oraz telekonferencjach dotyczących zamówienia – zarówno z </w:t>
      </w:r>
      <w:r w:rsidR="00AB3262" w:rsidRPr="00601916">
        <w:rPr>
          <w:b/>
        </w:rPr>
        <w:t>Zamawia</w:t>
      </w:r>
      <w:r w:rsidR="00AB3262">
        <w:rPr>
          <w:b/>
        </w:rPr>
        <w:t>jącym</w:t>
      </w:r>
      <w:r>
        <w:rPr>
          <w:b/>
        </w:rPr>
        <w:t>, Partnerami prywatnymi,</w:t>
      </w:r>
      <w:r w:rsidRPr="00601916">
        <w:rPr>
          <w:b/>
        </w:rPr>
        <w:t xml:space="preserve"> Instytucją Zarządzającą</w:t>
      </w:r>
      <w:r>
        <w:rPr>
          <w:b/>
        </w:rPr>
        <w:t xml:space="preserve"> oraz Ekspertami </w:t>
      </w:r>
      <w:r w:rsidR="00AB3262">
        <w:rPr>
          <w:b/>
        </w:rPr>
        <w:t>zewnętrznymi</w:t>
      </w:r>
      <w:r>
        <w:rPr>
          <w:b/>
        </w:rPr>
        <w:t xml:space="preserve"> wskazanymi przez Zamawiającego.</w:t>
      </w:r>
    </w:p>
    <w:p w:rsidR="009B0E4B" w:rsidRPr="00601916" w:rsidRDefault="009B0E4B" w:rsidP="009B0E4B">
      <w:pPr>
        <w:spacing w:after="0" w:line="240" w:lineRule="auto"/>
        <w:jc w:val="both"/>
        <w:rPr>
          <w:b/>
        </w:rPr>
      </w:pPr>
      <w:r w:rsidRPr="00601916">
        <w:rPr>
          <w:b/>
        </w:rPr>
        <w:t>Opis przedsięwzięcia: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 xml:space="preserve">Podstawowym celem, jaki zostanie osiągnięty dzięki realizacji przedsięwzięcia jest przywrócenie potencjału wzrostu gospodarczego regionu świętokrzyskiego przez zmianę sposobu funkcjonowania już istniejących firm (zmianę modelu funkcjonowania w celu zwiększenia odporności na szoki </w:t>
      </w:r>
      <w:r w:rsidRPr="00601916">
        <w:lastRenderedPageBreak/>
        <w:t>gospodarcze), tworzeniem nowych firm typu start-</w:t>
      </w:r>
      <w:proofErr w:type="spellStart"/>
      <w:r w:rsidRPr="00601916">
        <w:t>up</w:t>
      </w:r>
      <w:proofErr w:type="spellEnd"/>
      <w:r w:rsidRPr="00601916">
        <w:t xml:space="preserve">, tworzenie nowych – trwałych miejsc pracy, przez co inwestycja zyska akceptację społeczną. Ścisłe powiązanie działań rozwojowych KPT </w:t>
      </w:r>
      <w:r w:rsidR="00E010D8">
        <w:br/>
      </w:r>
      <w:r w:rsidRPr="00601916">
        <w:t xml:space="preserve">i przedsiębiorstw zlokalizowanych na jego terenie z zapleczem badawczo-naukowym uczelni wyższych regionu wytworzy efekt synergii, który przełoży się bezpośrednio na poprawę innowacyjności, konkurencyjności województwa podnosząc jakość i poziom życia mieszkańców, a których obszar działalności będzie zgodny z inteligentnymi specjalizacjami województwa świętokrzyskiego. Przedmiotowy projekt jest w pełni komplementarny i wkomponowany pod względem funkcji i przeznaczenia w system </w:t>
      </w:r>
      <w:proofErr w:type="spellStart"/>
      <w:r w:rsidRPr="00601916">
        <w:t>społeczno</w:t>
      </w:r>
      <w:proofErr w:type="spellEnd"/>
      <w:r w:rsidRPr="00601916">
        <w:t xml:space="preserve"> – gospodarczy regionu.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 xml:space="preserve">O dużym zapotrzebowaniu na tego typu przedsięwzięcie świadczy całkowite zapełnienie obecnie dostępnych przestrzeni istniejącej infrastruktury przeznaczonej dla przedsiębiorców z sektora MŚP </w:t>
      </w:r>
      <w:r w:rsidR="00E010D8">
        <w:br/>
      </w:r>
      <w:r w:rsidRPr="00601916">
        <w:t xml:space="preserve">i jednocześnie stale spływające zapytania i listy intencyjne wyrażające chęć ulokowania działalności </w:t>
      </w:r>
      <w:r w:rsidR="00E010D8">
        <w:br/>
      </w:r>
      <w:r w:rsidRPr="00601916">
        <w:t>w KPT.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Firmy szukając powierzchni na prowadzenie działalności oczekują atrakcyjnego położenia, które ma kluczowe znaczenie dla lokalizacji firmy. Najbardziej pożądana jest dobrze wyeksponowana lokalizacja, w ramach granic administracyjnych miasta, najlepiej w biznesowo-przemysłowej dzielnicy położonej w niewielkiej odległości od centrum i ważnych arterii komunikacyjnych. Atutem będzie również dogodny dostęp do transportu publicznego, a także wystarczającej liczby miejsc parkingowych przeznaczonych dla osób pracujących w obiekcie oraz ich gości i partnerów biznesowych. Wszystkie powyższe warunki spełnione zostaną przez Kielecki Park Technologiczny.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 xml:space="preserve">Inwestycję przewidziano jako kilkukondygnacyjny budynek, z dodatkową kondygnacją podziemną – przeznaczoną na garaż podziemny. 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Oprócz przestrzeni biurowych, zajmujących większą część obiektu, zdecydowano się wprowadzić funkcje uzupełniające, które służyć będą zarówno pracownikom, jak i mieszkańcom miasta i są to: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•</w:t>
      </w:r>
      <w:r w:rsidRPr="00601916">
        <w:tab/>
        <w:t xml:space="preserve">Funkcja konferencyjna 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•</w:t>
      </w:r>
      <w:r w:rsidRPr="00601916">
        <w:tab/>
        <w:t>Funkcja gastronomiczna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•</w:t>
      </w:r>
      <w:r w:rsidRPr="00601916">
        <w:tab/>
        <w:t xml:space="preserve">Funkcja usługowa </w:t>
      </w:r>
    </w:p>
    <w:p w:rsidR="009B0E4B" w:rsidRPr="00601916" w:rsidRDefault="009B0E4B" w:rsidP="009B0E4B">
      <w:pPr>
        <w:spacing w:after="0" w:line="240" w:lineRule="auto"/>
        <w:jc w:val="both"/>
      </w:pPr>
    </w:p>
    <w:p w:rsidR="009B0E4B" w:rsidRPr="00601916" w:rsidRDefault="009B0E4B" w:rsidP="009B0E4B">
      <w:pPr>
        <w:spacing w:after="0" w:line="240" w:lineRule="auto"/>
        <w:jc w:val="both"/>
      </w:pPr>
      <w:r w:rsidRPr="00601916">
        <w:t>Podstawowe parametry obiektu, to przede wszystkim: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•</w:t>
      </w:r>
      <w:r>
        <w:tab/>
        <w:t>powierzchnia całkowita – ok. 5-10</w:t>
      </w:r>
      <w:r w:rsidRPr="00601916">
        <w:t xml:space="preserve"> tys. m2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•</w:t>
      </w:r>
      <w:r w:rsidRPr="00601916">
        <w:tab/>
        <w:t>parking podziemny</w:t>
      </w:r>
    </w:p>
    <w:p w:rsidR="009B0E4B" w:rsidRPr="00601916" w:rsidRDefault="009B0E4B" w:rsidP="009B0E4B">
      <w:pPr>
        <w:spacing w:after="0" w:line="240" w:lineRule="auto"/>
        <w:jc w:val="both"/>
      </w:pPr>
      <w:r w:rsidRPr="00601916">
        <w:t>•</w:t>
      </w:r>
      <w:r w:rsidRPr="00601916">
        <w:tab/>
        <w:t>parking naziemnym oraz miejsca do parkowania rowerów oraz ładowania samochodów elektrycznych.</w:t>
      </w:r>
    </w:p>
    <w:p w:rsidR="009B0E4B" w:rsidRPr="00601916" w:rsidRDefault="009B0E4B" w:rsidP="009B0E4B">
      <w:pPr>
        <w:spacing w:after="0" w:line="240" w:lineRule="auto"/>
        <w:jc w:val="both"/>
      </w:pPr>
    </w:p>
    <w:p w:rsidR="009B0E4B" w:rsidRPr="00601916" w:rsidRDefault="009B0E4B" w:rsidP="009B0E4B">
      <w:pPr>
        <w:spacing w:after="0" w:line="240" w:lineRule="auto"/>
        <w:jc w:val="both"/>
      </w:pPr>
      <w:r w:rsidRPr="00601916">
        <w:t xml:space="preserve">Nowopowstały Inkubator zapewni dostęp do infrastruktury technologicznej oraz kompleksowego programu wsparcia - usług inkubacyjnych, akceleracyjnych, doradczych, rozwojowych, szkoleniowych, dostępność usług finansowych, które wzmocnią potencjał gospodarczy oraz zwiększą aktywność zawodową mieszkańców regionu. Ponadto ulokowanie w jednym miejscu wielu innowacyjnych firm umożliwi stworzenie ekosystemu innowacji, wpłynie na możliwość wytworzenia się </w:t>
      </w:r>
      <w:proofErr w:type="spellStart"/>
      <w:r w:rsidRPr="00601916">
        <w:t>networkingu</w:t>
      </w:r>
      <w:proofErr w:type="spellEnd"/>
      <w:r w:rsidRPr="00601916">
        <w:t xml:space="preserve"> i sprzyjać będzie występowaniu efektów synergicznych pomiędzy nimi.</w:t>
      </w:r>
    </w:p>
    <w:p w:rsidR="009B0E4B" w:rsidRDefault="009B0E4B" w:rsidP="009B0E4B">
      <w:pPr>
        <w:spacing w:after="0" w:line="240" w:lineRule="auto"/>
        <w:jc w:val="both"/>
        <w:rPr>
          <w:b/>
        </w:rPr>
      </w:pPr>
    </w:p>
    <w:p w:rsidR="009B0E4B" w:rsidRPr="00D976BE" w:rsidRDefault="009B0E4B" w:rsidP="009B0E4B">
      <w:pPr>
        <w:pStyle w:val="Nagwek2"/>
        <w:rPr>
          <w:color w:val="auto"/>
        </w:rPr>
      </w:pPr>
      <w:r w:rsidRPr="00D976BE">
        <w:rPr>
          <w:color w:val="auto"/>
        </w:rPr>
        <w:t xml:space="preserve">Wykonawca </w:t>
      </w:r>
    </w:p>
    <w:p w:rsidR="009B0E4B" w:rsidRPr="00F60528" w:rsidRDefault="009B0E4B" w:rsidP="009B0E4B">
      <w:pPr>
        <w:spacing w:after="210"/>
        <w:jc w:val="both"/>
      </w:pPr>
      <w:r w:rsidRPr="00F60528">
        <w:t xml:space="preserve">Zadaniem Wykonawcy jest świadczenie </w:t>
      </w:r>
      <w:r w:rsidRPr="00D976BE">
        <w:t xml:space="preserve">usługi kompleksowego doradztwa </w:t>
      </w:r>
      <w:proofErr w:type="spellStart"/>
      <w:r w:rsidRPr="00D976BE">
        <w:t>publiczno</w:t>
      </w:r>
      <w:proofErr w:type="spellEnd"/>
      <w:r w:rsidRPr="00D976BE">
        <w:t xml:space="preserve"> – prywatnego dla inwestycji pn.: Rozbudowa Zespołu Inkubatorów Technologicznych KPT - Budowa Inkubatora California </w:t>
      </w:r>
    </w:p>
    <w:p w:rsidR="009B0E4B" w:rsidRPr="00F60528" w:rsidRDefault="009B0E4B" w:rsidP="009B0E4B">
      <w:pPr>
        <w:spacing w:after="210"/>
      </w:pPr>
      <w:r w:rsidRPr="00F60528">
        <w:t>Wykonawca ani jego podwykonawcy nie mogą świadczyć usług doradczych przy Projekcie PPP na rzecz podmiotów uczestniczących w postępowaniu na wybór Partnera Prywatnego dla Projektu PPP.</w:t>
      </w:r>
    </w:p>
    <w:p w:rsidR="009B0E4B" w:rsidRDefault="009B0E4B" w:rsidP="009B0E4B">
      <w:pPr>
        <w:spacing w:after="210" w:line="240" w:lineRule="auto"/>
      </w:pPr>
      <w:r>
        <w:lastRenderedPageBreak/>
        <w:t>Zamawiający</w:t>
      </w:r>
      <w:r w:rsidRPr="00F60528">
        <w:t xml:space="preserve"> wymaga, aby </w:t>
      </w:r>
      <w:r>
        <w:t xml:space="preserve">prace Wykonawcy wykonywane były </w:t>
      </w:r>
      <w:r w:rsidRPr="00F60528">
        <w:t>co najmniej przy zaangażowaniu ekspertów, wchodzących w skład wyznaczonego przez Wykonawcę Zespoł</w:t>
      </w:r>
      <w:r>
        <w:t>u Doradców, tj.:</w:t>
      </w:r>
    </w:p>
    <w:p w:rsidR="00A406D1" w:rsidRPr="00A406D1" w:rsidRDefault="00A406D1" w:rsidP="00A406D1">
      <w:pPr>
        <w:spacing w:after="210" w:line="240" w:lineRule="auto"/>
        <w:rPr>
          <w:b/>
        </w:rPr>
      </w:pPr>
      <w:r w:rsidRPr="00A406D1">
        <w:rPr>
          <w:b/>
        </w:rPr>
        <w:t>•</w:t>
      </w:r>
      <w:r w:rsidRPr="00A406D1">
        <w:rPr>
          <w:b/>
        </w:rPr>
        <w:tab/>
        <w:t xml:space="preserve">eksperta ds. </w:t>
      </w:r>
      <w:proofErr w:type="spellStart"/>
      <w:r w:rsidRPr="00A406D1">
        <w:rPr>
          <w:b/>
        </w:rPr>
        <w:t>ekonomiczno</w:t>
      </w:r>
      <w:proofErr w:type="spellEnd"/>
      <w:r w:rsidRPr="00A406D1">
        <w:rPr>
          <w:b/>
        </w:rPr>
        <w:t xml:space="preserve"> - finansowych spełniającego następujące wymagania:</w:t>
      </w:r>
    </w:p>
    <w:p w:rsidR="00A406D1" w:rsidRDefault="00A406D1" w:rsidP="00A406D1">
      <w:pPr>
        <w:spacing w:after="210" w:line="240" w:lineRule="auto"/>
        <w:jc w:val="both"/>
      </w:pPr>
      <w:r>
        <w:t xml:space="preserve">posiada wykształcenie wyższe ekonomiczne (w rozumieniu ustawy  z dnia 27 lipca 2005 r. Prawo </w:t>
      </w:r>
      <w:r w:rsidR="00E010D8">
        <w:br/>
      </w:r>
      <w:r>
        <w:t xml:space="preserve">o szkolnictwie wyższym i nauce (tj. Dz.U. z 2021 r., poz. 478 z </w:t>
      </w:r>
      <w:proofErr w:type="spellStart"/>
      <w:r>
        <w:t>późn</w:t>
      </w:r>
      <w:proofErr w:type="spellEnd"/>
      <w:r>
        <w:t>. zm.) lub wyższe i uzyskał co najmniej jeden z następujących certyfikatów lub tytułów zawodowych: doradcy inwestycyjnego, CFA (</w:t>
      </w:r>
      <w:proofErr w:type="spellStart"/>
      <w:r>
        <w:t>Chartered</w:t>
      </w:r>
      <w:proofErr w:type="spellEnd"/>
      <w:r>
        <w:t xml:space="preserve"> Financial </w:t>
      </w:r>
      <w:proofErr w:type="spellStart"/>
      <w:r>
        <w:t>Analyst</w:t>
      </w:r>
      <w:proofErr w:type="spellEnd"/>
      <w:r>
        <w:t>), ACCA (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Chartered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Accountants</w:t>
      </w:r>
      <w:proofErr w:type="spellEnd"/>
      <w:r>
        <w:t>), CIIA (</w:t>
      </w:r>
      <w:proofErr w:type="spellStart"/>
      <w:r>
        <w:t>Certified</w:t>
      </w:r>
      <w:proofErr w:type="spellEnd"/>
      <w:r>
        <w:t xml:space="preserve"> International Investment </w:t>
      </w:r>
      <w:proofErr w:type="spellStart"/>
      <w:r>
        <w:t>Analyst</w:t>
      </w:r>
      <w:proofErr w:type="spellEnd"/>
      <w:r>
        <w:t xml:space="preserve">) oraz nabył doświadczenie polegające na sporządzeniu (samodzielnie lub jako członek zespołu), na rzecz sektora publicznego, co najmniej 2 modeli finansowych w postaci arkusza kalkulacyjnego (analiza uwzględniająca prognozę co najmniej 10 lat na przyszłość z uwzględnieniem </w:t>
      </w:r>
      <w:proofErr w:type="spellStart"/>
      <w:r>
        <w:t>value</w:t>
      </w:r>
      <w:proofErr w:type="spellEnd"/>
      <w:r>
        <w:t xml:space="preserve"> for </w:t>
      </w:r>
      <w:proofErr w:type="spellStart"/>
      <w:r>
        <w:t>money</w:t>
      </w:r>
      <w:proofErr w:type="spellEnd"/>
      <w:r>
        <w:t xml:space="preserve">, ryzyka i wrażliwości) dla projektów zrealizowanych lub planowanych do realizacji w formule partnerstwa </w:t>
      </w:r>
      <w:proofErr w:type="spellStart"/>
      <w:r>
        <w:t>publiczno</w:t>
      </w:r>
      <w:proofErr w:type="spellEnd"/>
      <w:r>
        <w:t xml:space="preserve"> – prywatnego.</w:t>
      </w:r>
    </w:p>
    <w:p w:rsidR="00A406D1" w:rsidRDefault="00A406D1" w:rsidP="00A406D1">
      <w:pPr>
        <w:spacing w:after="210" w:line="240" w:lineRule="auto"/>
      </w:pPr>
    </w:p>
    <w:p w:rsidR="00A406D1" w:rsidRPr="00A406D1" w:rsidRDefault="00A406D1" w:rsidP="00A406D1">
      <w:pPr>
        <w:spacing w:after="210" w:line="240" w:lineRule="auto"/>
        <w:rPr>
          <w:b/>
        </w:rPr>
      </w:pPr>
      <w:r w:rsidRPr="00A406D1">
        <w:rPr>
          <w:b/>
        </w:rPr>
        <w:t>•</w:t>
      </w:r>
      <w:r w:rsidRPr="00A406D1">
        <w:rPr>
          <w:b/>
        </w:rPr>
        <w:tab/>
        <w:t>eksperta ds. prawnych spełn</w:t>
      </w:r>
      <w:r>
        <w:rPr>
          <w:b/>
        </w:rPr>
        <w:t>iającego następujące wymagania:</w:t>
      </w:r>
    </w:p>
    <w:p w:rsidR="00A406D1" w:rsidRDefault="00A406D1" w:rsidP="00A406D1">
      <w:pPr>
        <w:spacing w:after="210" w:line="240" w:lineRule="auto"/>
        <w:jc w:val="both"/>
      </w:pPr>
      <w:r>
        <w:t xml:space="preserve">posiada wykształcenie wyższe prawnicze oraz uprawnienia do wykonywania zawodu radcy prawnego </w:t>
      </w:r>
      <w:r w:rsidR="00F14B93">
        <w:t>lub adwokata lub jest uprawniony</w:t>
      </w:r>
      <w:r>
        <w:t xml:space="preserve"> do świadczenia pomocy prawnej na podstawie ustawy z dnia 5 lipca 2002 r. o świadczeniu przez prawników zagranicznych pomocy prawnej w Rzeczpospolitej Polskiej (tj. Dz.U. z 2020 r., poz. 823ze zm.) oraz nabył doświadczenie polegające na </w:t>
      </w:r>
      <w:proofErr w:type="spellStart"/>
      <w:r>
        <w:t>na</w:t>
      </w:r>
      <w:proofErr w:type="spellEnd"/>
      <w:r>
        <w:t xml:space="preserve"> sporządzeniu na rzecz sektora publicznego, co najmniej 2 analiz prawnych dla projektów zrealizowanych lub planowanych do realizacji w formule partnerstwa </w:t>
      </w:r>
      <w:proofErr w:type="spellStart"/>
      <w:r>
        <w:t>publiczno</w:t>
      </w:r>
      <w:proofErr w:type="spellEnd"/>
      <w:r>
        <w:t xml:space="preserve"> – prywatnego.</w:t>
      </w:r>
    </w:p>
    <w:p w:rsidR="00A406D1" w:rsidRDefault="00A406D1" w:rsidP="00A406D1">
      <w:pPr>
        <w:spacing w:after="210" w:line="240" w:lineRule="auto"/>
      </w:pPr>
    </w:p>
    <w:p w:rsidR="00A406D1" w:rsidRPr="00A406D1" w:rsidRDefault="00A406D1" w:rsidP="00A406D1">
      <w:pPr>
        <w:spacing w:after="210" w:line="240" w:lineRule="auto"/>
        <w:rPr>
          <w:b/>
        </w:rPr>
      </w:pPr>
      <w:r w:rsidRPr="00A406D1">
        <w:rPr>
          <w:b/>
        </w:rPr>
        <w:t>•</w:t>
      </w:r>
      <w:r w:rsidRPr="00A406D1">
        <w:rPr>
          <w:b/>
        </w:rPr>
        <w:tab/>
        <w:t>Eksperta ds. technicznych - koordynatora projektu spełniającego następujące wymagania:</w:t>
      </w:r>
    </w:p>
    <w:p w:rsidR="00A406D1" w:rsidRDefault="00A406D1" w:rsidP="00A406D1">
      <w:pPr>
        <w:spacing w:after="210" w:line="240" w:lineRule="auto"/>
        <w:jc w:val="both"/>
      </w:pPr>
      <w:r>
        <w:t xml:space="preserve">posiada wykształcenie wyższe techniczne, ekonomiczne lub prawnicze oraz doświadczenie polegające na kierowaniu na rzecz strony publicznej, co najmniej 2 projektami  planowanymi do realizacji w formule partnerstwa </w:t>
      </w:r>
      <w:proofErr w:type="spellStart"/>
      <w:r>
        <w:t>publiczno</w:t>
      </w:r>
      <w:proofErr w:type="spellEnd"/>
      <w:r>
        <w:t xml:space="preserve"> – prywatnego.</w:t>
      </w:r>
    </w:p>
    <w:p w:rsidR="00A406D1" w:rsidRPr="00A406D1" w:rsidRDefault="00A406D1" w:rsidP="00A406D1">
      <w:pPr>
        <w:spacing w:after="210" w:line="240" w:lineRule="auto"/>
        <w:jc w:val="both"/>
        <w:rPr>
          <w:b/>
        </w:rPr>
      </w:pPr>
      <w:r w:rsidRPr="00A406D1">
        <w:rPr>
          <w:b/>
        </w:rPr>
        <w:t>Koordynator projektu będzie odpowiedzialny za koordynację prac zespołu w zakresie merytorycznego przedmiotu doradztwa, w tym m.in. oszacowanie nakładów inwestycyjnych, kosztów operacyjnych oraz zostanie wskazany w umowie do kontaktu z Zamawiającym.</w:t>
      </w:r>
    </w:p>
    <w:p w:rsidR="00A406D1" w:rsidRDefault="00A406D1" w:rsidP="009B0E4B">
      <w:pPr>
        <w:spacing w:after="210"/>
      </w:pPr>
    </w:p>
    <w:p w:rsidR="009B0E4B" w:rsidRDefault="009B0E4B" w:rsidP="009B0E4B">
      <w:pPr>
        <w:spacing w:after="210"/>
      </w:pPr>
      <w:r>
        <w:t xml:space="preserve">Wskazana ilość ekspertów jest wymogiem minimalnym. Do decyzji Wykonawcy należy określenie ilości </w:t>
      </w:r>
      <w:r w:rsidR="00A406D1">
        <w:t>ekspertów</w:t>
      </w:r>
      <w:r>
        <w:t xml:space="preserve"> uczestniczących w realizacji zadania.</w:t>
      </w:r>
    </w:p>
    <w:p w:rsidR="009B0E4B" w:rsidRPr="008D49AD" w:rsidRDefault="009B0E4B" w:rsidP="009B0E4B">
      <w:pPr>
        <w:spacing w:after="210"/>
        <w:rPr>
          <w:b/>
        </w:rPr>
      </w:pPr>
      <w:r w:rsidRPr="008D49AD">
        <w:rPr>
          <w:b/>
        </w:rPr>
        <w:t xml:space="preserve">Zmiana Doradcy wskazanego w Ofercie jest dopuszczalna w szczególnych przypadkach, na wniosek Wykonawcy, za pisemną zgodą </w:t>
      </w:r>
      <w:r w:rsidRPr="009B502E">
        <w:rPr>
          <w:b/>
        </w:rPr>
        <w:t>Zamawiającego.</w:t>
      </w:r>
      <w:r w:rsidRPr="008D49AD">
        <w:rPr>
          <w:b/>
        </w:rPr>
        <w:t xml:space="preserve"> </w:t>
      </w:r>
    </w:p>
    <w:p w:rsidR="009B0E4B" w:rsidRPr="00601916" w:rsidRDefault="009B0E4B" w:rsidP="009B0E4B">
      <w:pPr>
        <w:spacing w:after="0" w:line="240" w:lineRule="auto"/>
        <w:jc w:val="both"/>
        <w:rPr>
          <w:b/>
        </w:rPr>
      </w:pPr>
    </w:p>
    <w:p w:rsidR="009B0E4B" w:rsidRPr="00E010D8" w:rsidRDefault="009B0E4B" w:rsidP="009B0E4B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10D8">
        <w:rPr>
          <w:rFonts w:asciiTheme="minorHAnsi" w:hAnsiTheme="minorHAnsi" w:cstheme="minorHAnsi"/>
          <w:color w:val="auto"/>
          <w:sz w:val="22"/>
          <w:szCs w:val="22"/>
        </w:rPr>
        <w:t>Termin realizacji zamówienia</w:t>
      </w:r>
    </w:p>
    <w:p w:rsidR="009B0E4B" w:rsidRPr="00E010D8" w:rsidRDefault="009B0E4B" w:rsidP="009B0E4B">
      <w:pPr>
        <w:pStyle w:val="Listapunktowana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0D8">
        <w:rPr>
          <w:rFonts w:asciiTheme="minorHAnsi" w:hAnsiTheme="minorHAnsi" w:cstheme="minorHAnsi"/>
          <w:sz w:val="22"/>
          <w:szCs w:val="22"/>
        </w:rPr>
        <w:t xml:space="preserve">Zamawiający przewiduje realizację całości Zamówienia </w:t>
      </w:r>
      <w:r w:rsidRPr="00E010D8">
        <w:rPr>
          <w:rFonts w:asciiTheme="minorHAnsi" w:hAnsiTheme="minorHAnsi" w:cstheme="minorHAnsi"/>
          <w:b/>
          <w:sz w:val="22"/>
          <w:szCs w:val="22"/>
        </w:rPr>
        <w:t xml:space="preserve">w nieprzekraczalnym terminie do: </w:t>
      </w:r>
      <w:r w:rsidRPr="00E010D8">
        <w:rPr>
          <w:rFonts w:asciiTheme="minorHAnsi" w:hAnsiTheme="minorHAnsi" w:cstheme="minorHAnsi"/>
          <w:b/>
          <w:sz w:val="22"/>
          <w:szCs w:val="22"/>
        </w:rPr>
        <w:br/>
        <w:t xml:space="preserve">31.03.2025 r. </w:t>
      </w:r>
    </w:p>
    <w:p w:rsidR="009B0E4B" w:rsidRPr="00E010D8" w:rsidRDefault="009B0E4B" w:rsidP="009B0E4B">
      <w:pPr>
        <w:pStyle w:val="Listapunktowana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0D8">
        <w:rPr>
          <w:rFonts w:asciiTheme="minorHAnsi" w:hAnsiTheme="minorHAnsi" w:cstheme="minorHAnsi"/>
          <w:b/>
          <w:sz w:val="22"/>
          <w:szCs w:val="22"/>
        </w:rPr>
        <w:lastRenderedPageBreak/>
        <w:t>Etapy cząstkowe realizacji zamówienia:</w:t>
      </w:r>
    </w:p>
    <w:p w:rsidR="009B0E4B" w:rsidRPr="00E010D8" w:rsidRDefault="009B0E4B" w:rsidP="009B0E4B">
      <w:pPr>
        <w:pStyle w:val="Listapunktowana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0D8">
        <w:rPr>
          <w:rFonts w:asciiTheme="minorHAnsi" w:hAnsiTheme="minorHAnsi" w:cstheme="minorHAnsi"/>
          <w:sz w:val="22"/>
          <w:szCs w:val="22"/>
        </w:rPr>
        <w:t>Etap I: Rozpoznanie rynku poprzez przeprowadzenie wstępnych konsultacji rynkowych oraz analizy popytu</w:t>
      </w:r>
      <w:r w:rsidR="00DD2C45">
        <w:rPr>
          <w:rFonts w:asciiTheme="minorHAnsi" w:hAnsiTheme="minorHAnsi" w:cstheme="minorHAnsi"/>
          <w:sz w:val="22"/>
          <w:szCs w:val="22"/>
        </w:rPr>
        <w:t xml:space="preserve"> i raportu</w:t>
      </w:r>
      <w:r w:rsidRPr="00E010D8">
        <w:rPr>
          <w:rFonts w:asciiTheme="minorHAnsi" w:hAnsiTheme="minorHAnsi" w:cstheme="minorHAnsi"/>
          <w:sz w:val="22"/>
          <w:szCs w:val="22"/>
        </w:rPr>
        <w:t xml:space="preserve">. Termin wykonania wraz z organizacją spotkań – </w:t>
      </w:r>
      <w:r w:rsidRPr="00E010D8">
        <w:rPr>
          <w:rFonts w:asciiTheme="minorHAnsi" w:hAnsiTheme="minorHAnsi" w:cstheme="minorHAnsi"/>
          <w:b/>
          <w:sz w:val="22"/>
          <w:szCs w:val="22"/>
        </w:rPr>
        <w:t>6 tygodni od dnia zawarcia Umowy.</w:t>
      </w:r>
    </w:p>
    <w:p w:rsidR="009B0E4B" w:rsidRPr="00E010D8" w:rsidRDefault="009B0E4B" w:rsidP="009B0E4B">
      <w:pPr>
        <w:pStyle w:val="Listapunktowana"/>
        <w:numPr>
          <w:ilvl w:val="0"/>
          <w:numId w:val="1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10D8">
        <w:rPr>
          <w:rFonts w:asciiTheme="minorHAnsi" w:hAnsiTheme="minorHAnsi" w:cstheme="minorHAnsi"/>
          <w:sz w:val="22"/>
          <w:szCs w:val="22"/>
        </w:rPr>
        <w:t>Etap II: Opracowanie analiz efektywności przedsięwzięcia. Termin wykonania analiz</w:t>
      </w:r>
      <w:r w:rsidR="00DD2C45">
        <w:rPr>
          <w:rFonts w:asciiTheme="minorHAnsi" w:hAnsiTheme="minorHAnsi" w:cstheme="minorHAnsi"/>
          <w:sz w:val="22"/>
          <w:szCs w:val="22"/>
        </w:rPr>
        <w:t xml:space="preserve"> i raportu</w:t>
      </w:r>
      <w:r w:rsidRPr="00E010D8">
        <w:rPr>
          <w:rFonts w:asciiTheme="minorHAnsi" w:hAnsiTheme="minorHAnsi" w:cstheme="minorHAnsi"/>
          <w:sz w:val="22"/>
          <w:szCs w:val="22"/>
        </w:rPr>
        <w:t xml:space="preserve">  - </w:t>
      </w:r>
      <w:r w:rsidRPr="00E010D8">
        <w:rPr>
          <w:rFonts w:asciiTheme="minorHAnsi" w:hAnsiTheme="minorHAnsi" w:cstheme="minorHAnsi"/>
          <w:b/>
          <w:color w:val="auto"/>
          <w:sz w:val="22"/>
          <w:szCs w:val="22"/>
        </w:rPr>
        <w:t>8 tygodni od dnia zakończenia Etapu I.</w:t>
      </w:r>
    </w:p>
    <w:p w:rsidR="009B0E4B" w:rsidRPr="00E010D8" w:rsidRDefault="009B0E4B" w:rsidP="009B0E4B">
      <w:pPr>
        <w:pStyle w:val="Listapunktowana"/>
        <w:numPr>
          <w:ilvl w:val="0"/>
          <w:numId w:val="13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010D8">
        <w:rPr>
          <w:rFonts w:asciiTheme="minorHAnsi" w:hAnsiTheme="minorHAnsi" w:cstheme="minorHAnsi"/>
          <w:sz w:val="22"/>
          <w:szCs w:val="22"/>
        </w:rPr>
        <w:t xml:space="preserve">Etap III: Opracowanie studium wykonalności inwestycji dla Projektu zgodnie z założeniami konkursowymi - Termin wykonania studium  -  </w:t>
      </w:r>
      <w:r w:rsidRPr="00E010D8">
        <w:rPr>
          <w:rFonts w:asciiTheme="minorHAnsi" w:hAnsiTheme="minorHAnsi" w:cstheme="minorHAnsi"/>
          <w:b/>
          <w:color w:val="auto"/>
          <w:sz w:val="22"/>
          <w:szCs w:val="22"/>
        </w:rPr>
        <w:t>4 tygodnie od zakończenia etapu II.</w:t>
      </w:r>
    </w:p>
    <w:p w:rsidR="009B0E4B" w:rsidRPr="00601916" w:rsidRDefault="009B0E4B" w:rsidP="009B0E4B">
      <w:pPr>
        <w:pStyle w:val="Listapunktowana"/>
        <w:numPr>
          <w:ilvl w:val="0"/>
          <w:numId w:val="0"/>
        </w:numPr>
        <w:ind w:left="360"/>
        <w:jc w:val="both"/>
      </w:pPr>
    </w:p>
    <w:p w:rsidR="009B0E4B" w:rsidRPr="00601916" w:rsidRDefault="009B0E4B" w:rsidP="009B0E4B">
      <w:pPr>
        <w:pStyle w:val="Nagwek2"/>
        <w:jc w:val="both"/>
        <w:rPr>
          <w:color w:val="auto"/>
          <w:szCs w:val="28"/>
        </w:rPr>
      </w:pPr>
      <w:r w:rsidRPr="00601916">
        <w:rPr>
          <w:color w:val="auto"/>
          <w:szCs w:val="28"/>
        </w:rPr>
        <w:t>Doradztwo PPP w ramach etapu I obejmować będzie:</w:t>
      </w:r>
    </w:p>
    <w:p w:rsidR="009B0E4B" w:rsidRDefault="009B0E4B" w:rsidP="004C1235">
      <w:pPr>
        <w:pStyle w:val="Lista-kontynuacja"/>
        <w:numPr>
          <w:ilvl w:val="0"/>
          <w:numId w:val="0"/>
        </w:numPr>
        <w:jc w:val="both"/>
        <w:rPr>
          <w:sz w:val="24"/>
          <w:szCs w:val="24"/>
        </w:rPr>
      </w:pPr>
      <w:r w:rsidRPr="00601916">
        <w:rPr>
          <w:sz w:val="24"/>
          <w:szCs w:val="24"/>
        </w:rPr>
        <w:t>Etap I.</w:t>
      </w:r>
      <w:r w:rsidRPr="00601916">
        <w:rPr>
          <w:sz w:val="24"/>
          <w:szCs w:val="24"/>
        </w:rPr>
        <w:tab/>
      </w:r>
      <w:r w:rsidR="007F2624">
        <w:rPr>
          <w:sz w:val="24"/>
          <w:szCs w:val="24"/>
        </w:rPr>
        <w:t>Rozpoznanie rynku i analiza popytu, w tym:</w:t>
      </w:r>
    </w:p>
    <w:p w:rsidR="009B0E4B" w:rsidRPr="00EB415D" w:rsidRDefault="009B0E4B" w:rsidP="009B0E4B">
      <w:pPr>
        <w:pStyle w:val="Akapitzlist"/>
        <w:numPr>
          <w:ilvl w:val="0"/>
          <w:numId w:val="14"/>
        </w:numPr>
        <w:jc w:val="both"/>
        <w:rPr>
          <w:rFonts w:ascii="Arial" w:hAnsi="Arial"/>
          <w:b/>
          <w:sz w:val="20"/>
          <w:szCs w:val="20"/>
        </w:rPr>
      </w:pPr>
      <w:r w:rsidRPr="00EB415D">
        <w:rPr>
          <w:rFonts w:ascii="Arial" w:hAnsi="Arial"/>
          <w:b/>
          <w:sz w:val="20"/>
          <w:szCs w:val="20"/>
        </w:rPr>
        <w:t>Rozpoznanie rynku poprzez przeprowadzenie wstępnych konsultacji rynkowych, w tym m.in.:</w:t>
      </w:r>
    </w:p>
    <w:p w:rsidR="009B0E4B" w:rsidRPr="00601916" w:rsidRDefault="009B0E4B" w:rsidP="009B0E4B">
      <w:pPr>
        <w:jc w:val="both"/>
        <w:rPr>
          <w:sz w:val="24"/>
          <w:szCs w:val="24"/>
        </w:rPr>
      </w:pPr>
    </w:p>
    <w:p w:rsidR="009B0E4B" w:rsidRPr="00601916" w:rsidRDefault="009B0E4B" w:rsidP="009B0E4B">
      <w:pPr>
        <w:spacing w:after="0" w:line="276" w:lineRule="auto"/>
        <w:jc w:val="both"/>
      </w:pPr>
      <w:r w:rsidRPr="00601916">
        <w:t>•</w:t>
      </w:r>
      <w:r w:rsidRPr="00601916">
        <w:tab/>
        <w:t>Opracowanie listy kontaktowej potencjalnych inwestorów (nie mniej niż 5 podmiotów specjalizujących się w budowie i finansowaniu obiektów kubaturowych biurowych lub użyteczności publicznej) wraz z uzasadnieniem oraz organizacją wstępnych spotkań z potencjalnymi partnerami.</w:t>
      </w:r>
    </w:p>
    <w:p w:rsidR="009B0E4B" w:rsidRPr="00601916" w:rsidRDefault="009B0E4B" w:rsidP="009B0E4B">
      <w:pPr>
        <w:pStyle w:val="Tekstpodstawowywcity2"/>
      </w:pPr>
      <w:r w:rsidRPr="00601916">
        <w:t>•</w:t>
      </w:r>
      <w:r w:rsidRPr="00601916">
        <w:tab/>
        <w:t>Opracowanie memorandum informacyjnego dla inwestorów wraz z ankietą na podstawie materiałów udostępnionych przez Zamawiającego. Treść memorandum i treść ankiety zostaną uzgodnione z Zamawiającym.</w:t>
      </w:r>
    </w:p>
    <w:p w:rsidR="009B0E4B" w:rsidRPr="00601916" w:rsidRDefault="009B0E4B" w:rsidP="009B0E4B">
      <w:pPr>
        <w:spacing w:after="0" w:line="276" w:lineRule="auto"/>
        <w:jc w:val="both"/>
      </w:pPr>
      <w:r w:rsidRPr="00601916">
        <w:t>•</w:t>
      </w:r>
      <w:r w:rsidRPr="00601916">
        <w:tab/>
        <w:t>Opracowanie regulaminu prowadzenia wstępnych konsultacji rynkowych.</w:t>
      </w:r>
    </w:p>
    <w:p w:rsidR="009B0E4B" w:rsidRPr="00601916" w:rsidRDefault="009B0E4B" w:rsidP="009B0E4B">
      <w:pPr>
        <w:spacing w:after="0" w:line="276" w:lineRule="auto"/>
        <w:jc w:val="both"/>
      </w:pPr>
      <w:r w:rsidRPr="00601916">
        <w:t>•</w:t>
      </w:r>
      <w:r w:rsidRPr="00601916">
        <w:tab/>
        <w:t>Opracowanie ogłoszenia o wstępnych konsultacjach rynkowych.</w:t>
      </w:r>
    </w:p>
    <w:p w:rsidR="009B0E4B" w:rsidRPr="00601916" w:rsidRDefault="009B0E4B" w:rsidP="009B0E4B">
      <w:pPr>
        <w:spacing w:after="0" w:line="276" w:lineRule="auto"/>
        <w:jc w:val="both"/>
      </w:pPr>
      <w:r w:rsidRPr="00601916">
        <w:t>•</w:t>
      </w:r>
      <w:r w:rsidRPr="00601916">
        <w:tab/>
        <w:t>Wsparcie w odpowiedziach na pytania od potencjalnych partnerów prywatnych.</w:t>
      </w:r>
    </w:p>
    <w:p w:rsidR="009B0E4B" w:rsidRPr="00601916" w:rsidRDefault="009B0E4B" w:rsidP="009B0E4B">
      <w:pPr>
        <w:spacing w:after="0" w:line="276" w:lineRule="auto"/>
        <w:jc w:val="both"/>
      </w:pPr>
      <w:r w:rsidRPr="00601916">
        <w:t>•</w:t>
      </w:r>
      <w:r w:rsidRPr="00601916">
        <w:tab/>
        <w:t>Udział w spotkaniach w ramach wstępnych konsultacji rynkowych.</w:t>
      </w:r>
    </w:p>
    <w:p w:rsidR="009B0E4B" w:rsidRDefault="009B0E4B" w:rsidP="009B0E4B">
      <w:pPr>
        <w:spacing w:after="0" w:line="276" w:lineRule="auto"/>
        <w:jc w:val="both"/>
      </w:pPr>
      <w:r w:rsidRPr="00601916">
        <w:t>•</w:t>
      </w:r>
      <w:r w:rsidRPr="00601916">
        <w:tab/>
        <w:t>Opracowanie raportu z przeprowadzonych wstępnych konsultacji rynkowych.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popytu</w:t>
      </w:r>
    </w:p>
    <w:p w:rsidR="009B0E4B" w:rsidRDefault="009B0E4B" w:rsidP="009B0E4B">
      <w:pPr>
        <w:jc w:val="both"/>
      </w:pPr>
      <w:r w:rsidRPr="00601916">
        <w:t xml:space="preserve">Prognoza popytu – obejmuje prognozę potencjalnego zapotrzebowania na korzystanie z Infrastruktury Publicznej wśród Użytkowników oraz oczekiwanego wzrostu popytu w całym okresie realizacji projektu. Zwykle wymaga to oszacowania poziomu popytu, który nie jest obecnie spełniany (to jest poziomu potrzeb) z powodu braku aktywów lub poziomu jakości. 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EB415D">
        <w:t>Raport w zakresie rekomendacji i wniosków</w:t>
      </w:r>
      <w:r>
        <w:t xml:space="preserve"> z etapu I</w:t>
      </w:r>
    </w:p>
    <w:p w:rsidR="009B0E4B" w:rsidRPr="00601916" w:rsidRDefault="009B0E4B" w:rsidP="009B0E4B">
      <w:pPr>
        <w:pStyle w:val="Lista-kontynuacja"/>
        <w:numPr>
          <w:ilvl w:val="0"/>
          <w:numId w:val="0"/>
        </w:numPr>
        <w:jc w:val="both"/>
      </w:pPr>
    </w:p>
    <w:p w:rsidR="009B0E4B" w:rsidRPr="00601916" w:rsidRDefault="009B0E4B" w:rsidP="009B0E4B">
      <w:pPr>
        <w:pStyle w:val="Lista-kontynuacja"/>
        <w:numPr>
          <w:ilvl w:val="0"/>
          <w:numId w:val="0"/>
        </w:numPr>
        <w:jc w:val="both"/>
        <w:rPr>
          <w:sz w:val="24"/>
          <w:szCs w:val="24"/>
        </w:rPr>
      </w:pPr>
      <w:r w:rsidRPr="00601916">
        <w:rPr>
          <w:sz w:val="24"/>
          <w:szCs w:val="24"/>
        </w:rPr>
        <w:t>Etap II.</w:t>
      </w:r>
      <w:r w:rsidRPr="00601916">
        <w:rPr>
          <w:sz w:val="24"/>
          <w:szCs w:val="24"/>
        </w:rPr>
        <w:tab/>
        <w:t>Ocena efektywności przedsięwzięcia</w:t>
      </w:r>
      <w:r>
        <w:rPr>
          <w:sz w:val="24"/>
          <w:szCs w:val="24"/>
        </w:rPr>
        <w:t xml:space="preserve"> (opracowana zgodnie z podejściem zaprezentowanym w wytycznych PPP, Tom I)</w:t>
      </w:r>
      <w:r w:rsidRPr="00601916">
        <w:rPr>
          <w:sz w:val="24"/>
          <w:szCs w:val="24"/>
        </w:rPr>
        <w:t>, w tym: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interesariuszy</w:t>
      </w:r>
    </w:p>
    <w:p w:rsidR="009B0E4B" w:rsidRDefault="009B0E4B" w:rsidP="009B0E4B">
      <w:pPr>
        <w:jc w:val="both"/>
      </w:pPr>
      <w:r w:rsidRPr="00601916">
        <w:t xml:space="preserve">Należy zidentyfikować wszystkich możliwych interesariuszy, określić ich rolę w Projekcie PPP, określić wpływ na Projekt PPP, określić sposób komunikacji. Wynikiem analizy będzie wyciągnięcie </w:t>
      </w:r>
      <w:r w:rsidRPr="00601916">
        <w:lastRenderedPageBreak/>
        <w:t>szczegółowych wniosków z uwzględnieniem działań koniecznych do wykonywania w odniesieniu do zidentyfikowanych interesariuszy na każdym etapie projektu. Wyniki analizy interesariuszy powinny zostać zaprezentowane w formie tabelarycznej.</w:t>
      </w:r>
    </w:p>
    <w:p w:rsidR="005D4D90" w:rsidRDefault="005D4D90" w:rsidP="009B0E4B">
      <w:pPr>
        <w:jc w:val="both"/>
      </w:pPr>
    </w:p>
    <w:p w:rsidR="005D4D90" w:rsidRPr="00601916" w:rsidRDefault="005D4D90" w:rsidP="009B0E4B">
      <w:pPr>
        <w:jc w:val="both"/>
      </w:pP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techniczne</w:t>
      </w:r>
    </w:p>
    <w:p w:rsidR="009B0E4B" w:rsidRPr="00601916" w:rsidRDefault="009B0E4B" w:rsidP="009B0E4B">
      <w:pPr>
        <w:spacing w:after="120"/>
        <w:jc w:val="both"/>
      </w:pPr>
      <w:r w:rsidRPr="00601916">
        <w:t>Analizy techniczne powinny obejmować: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określenie potrzeb/działań priorytetowych odpowiadających zaspokojeniu oczekiwań społecznych (np. konieczność remontu odcinka drogi, budowy obwodnicy miejscowości, konieczność rozbudowy/przebudowy istniejącej infrastruktury wodno-kanalizacyjnej, podłączenia nowych odbiorców czy zagospodarowania wód opadowych itp.);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określenie zakresu/zasięgu Projektu PPP (np. długość drogi, liczba odbiorców sieci wodno-kanalizacyjnej); 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 xml:space="preserve">określenie opcji realizacji projektu – czy w ramach Projektu PPP zawarty jest element utrzymania 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analiza dostępności terenu (własności gruntów);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analiza techniczna parametrów istniejącej infrastruktury (np. stan nawierzchni drogi, przepustów, rowów, stan infrastruktury wodno-kanalizacyjnej, pompowni);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analiza geologiczna, zanieczyszczeń gruntów, na których będzie realizowany Projekt PPP;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analiza formalno-prawna posiadanych lub niezbędnych do wykonania projektu decyzji administracyjnych i pozwoleń np. Decyzja Środowiskowa, decyzja lokalizacyjna, pozwolenia wodnoprawne itd.;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analiza techniczna rozwiązań projektowych wraz ze wstępną analizą kosztów danego rozwiązania;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wariantowanie rozwiązań technicznych oraz etapowanie prac;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>analiza środowiskowa rozważanych wariantów (w tym jej zgodność z wcześniej uzyskanymi decyzjami np. Decyzją Środowiskową jeżeli została wydana);</w:t>
      </w:r>
    </w:p>
    <w:p w:rsidR="009B0E4B" w:rsidRPr="00601916" w:rsidRDefault="009B0E4B" w:rsidP="009B0E4B">
      <w:pPr>
        <w:pStyle w:val="Listapunktowana"/>
        <w:numPr>
          <w:ilvl w:val="0"/>
          <w:numId w:val="8"/>
        </w:numPr>
        <w:ind w:left="567" w:hanging="283"/>
        <w:jc w:val="both"/>
      </w:pPr>
      <w:r w:rsidRPr="00601916">
        <w:t xml:space="preserve">określenie przybliżonej wartości nakładów inwestycyjnych i kosztów operacyjnych dla Projektu PPP oraz dla projektu w formule tradycyjnej. </w:t>
      </w:r>
    </w:p>
    <w:p w:rsidR="009B0E4B" w:rsidRPr="00601916" w:rsidRDefault="009B0E4B" w:rsidP="009B0E4B">
      <w:pPr>
        <w:spacing w:after="0" w:line="240" w:lineRule="auto"/>
        <w:jc w:val="both"/>
        <w:rPr>
          <w:b/>
        </w:rPr>
      </w:pPr>
    </w:p>
    <w:p w:rsidR="009B0E4B" w:rsidRPr="00601916" w:rsidRDefault="009B0E4B" w:rsidP="009B0E4B">
      <w:pPr>
        <w:pStyle w:val="Lista-kontynuacja"/>
        <w:numPr>
          <w:ilvl w:val="0"/>
          <w:numId w:val="14"/>
        </w:numPr>
        <w:spacing w:before="120" w:after="120"/>
        <w:jc w:val="both"/>
      </w:pPr>
      <w:r w:rsidRPr="00601916">
        <w:t>Analizy ryzyka</w:t>
      </w:r>
    </w:p>
    <w:p w:rsidR="009B0E4B" w:rsidRPr="00601916" w:rsidRDefault="009B0E4B" w:rsidP="009B0E4B">
      <w:pPr>
        <w:spacing w:after="120"/>
        <w:jc w:val="both"/>
      </w:pPr>
      <w:r w:rsidRPr="00601916">
        <w:t>Analizy ryzyka powinny obejmować:</w:t>
      </w:r>
    </w:p>
    <w:p w:rsidR="009B0E4B" w:rsidRPr="00601916" w:rsidRDefault="009B0E4B" w:rsidP="009B0E4B">
      <w:pPr>
        <w:pStyle w:val="Listapunktowana"/>
        <w:numPr>
          <w:ilvl w:val="0"/>
          <w:numId w:val="3"/>
        </w:numPr>
        <w:ind w:left="567" w:hanging="283"/>
        <w:jc w:val="both"/>
      </w:pPr>
      <w:r w:rsidRPr="00601916">
        <w:t xml:space="preserve">przygotowanie matrycy </w:t>
      </w:r>
      <w:proofErr w:type="spellStart"/>
      <w:r w:rsidRPr="00601916">
        <w:t>ryzyk</w:t>
      </w:r>
      <w:proofErr w:type="spellEnd"/>
      <w:r w:rsidRPr="00601916">
        <w:t>, uwzględniającej:</w:t>
      </w:r>
    </w:p>
    <w:p w:rsidR="009B0E4B" w:rsidRPr="00601916" w:rsidRDefault="009B0E4B" w:rsidP="009B0E4B">
      <w:pPr>
        <w:pStyle w:val="Listapunktowana2"/>
        <w:numPr>
          <w:ilvl w:val="1"/>
          <w:numId w:val="3"/>
        </w:numPr>
        <w:ind w:left="567" w:hanging="283"/>
        <w:jc w:val="both"/>
      </w:pPr>
      <w:r w:rsidRPr="00601916">
        <w:t xml:space="preserve">identyfikację ryzyka: proces identyfikacji wszystkich </w:t>
      </w:r>
      <w:proofErr w:type="spellStart"/>
      <w:r w:rsidRPr="00601916">
        <w:t>ryzyk</w:t>
      </w:r>
      <w:proofErr w:type="spellEnd"/>
      <w:r w:rsidRPr="00601916">
        <w:t xml:space="preserve"> istotnych dla Projektu PPP, zarówno na etapie jego budowy, jak i fazy operacyjnej;</w:t>
      </w:r>
    </w:p>
    <w:p w:rsidR="009B0E4B" w:rsidRPr="00601916" w:rsidRDefault="009B0E4B" w:rsidP="009B0E4B">
      <w:pPr>
        <w:pStyle w:val="Listapunktowana2"/>
        <w:numPr>
          <w:ilvl w:val="1"/>
          <w:numId w:val="3"/>
        </w:numPr>
        <w:ind w:left="567" w:hanging="283"/>
        <w:jc w:val="both"/>
      </w:pPr>
      <w:r w:rsidRPr="00601916">
        <w:t xml:space="preserve">ocenę ryzyka: określenie prawdopodobieństwa wystąpienia zidentyfikowanych </w:t>
      </w:r>
      <w:proofErr w:type="spellStart"/>
      <w:r w:rsidRPr="00601916">
        <w:t>ryzyk</w:t>
      </w:r>
      <w:proofErr w:type="spellEnd"/>
      <w:r w:rsidRPr="00601916">
        <w:t xml:space="preserve"> i wielkości ich skutków w przypadku ich materializacji (waga ryzyka);</w:t>
      </w:r>
    </w:p>
    <w:p w:rsidR="009B0E4B" w:rsidRPr="00601916" w:rsidRDefault="009B0E4B" w:rsidP="009B0E4B">
      <w:pPr>
        <w:pStyle w:val="Listapunktowana2"/>
        <w:numPr>
          <w:ilvl w:val="1"/>
          <w:numId w:val="3"/>
        </w:numPr>
        <w:ind w:left="567" w:hanging="283"/>
        <w:jc w:val="both"/>
      </w:pPr>
      <w:r w:rsidRPr="00601916">
        <w:t>alokację ryzyka: przydzielenie odpowiedzialności za skutki każdego z </w:t>
      </w:r>
      <w:proofErr w:type="spellStart"/>
      <w:r w:rsidRPr="00601916">
        <w:t>ryzyk</w:t>
      </w:r>
      <w:proofErr w:type="spellEnd"/>
      <w:r w:rsidRPr="00601916">
        <w:t xml:space="preserve"> jednej ze stron Umowy o PPP.</w:t>
      </w:r>
    </w:p>
    <w:p w:rsidR="009B0E4B" w:rsidRPr="00601916" w:rsidRDefault="009B0E4B" w:rsidP="009B0E4B">
      <w:pPr>
        <w:pStyle w:val="Akapitzlist"/>
        <w:ind w:left="284"/>
        <w:jc w:val="both"/>
        <w:rPr>
          <w:rFonts w:ascii="Arial" w:hAnsi="Arial"/>
          <w:sz w:val="20"/>
        </w:rPr>
      </w:pPr>
      <w:r w:rsidRPr="00601916">
        <w:rPr>
          <w:rFonts w:ascii="Arial" w:hAnsi="Arial"/>
          <w:sz w:val="20"/>
        </w:rPr>
        <w:t xml:space="preserve">Przygotowanie matrycy ryzyka zostanie poprzedzone całodniowymi warsztatami ryzyka, przygotowanymi przez Wykonawcę, podczas których omówione zostanie zestawienie potencjalnych </w:t>
      </w:r>
      <w:proofErr w:type="spellStart"/>
      <w:r w:rsidRPr="00601916">
        <w:rPr>
          <w:rFonts w:ascii="Arial" w:hAnsi="Arial"/>
          <w:sz w:val="20"/>
        </w:rPr>
        <w:t>ryzyk</w:t>
      </w:r>
      <w:proofErr w:type="spellEnd"/>
      <w:r w:rsidRPr="00601916">
        <w:rPr>
          <w:rFonts w:ascii="Arial" w:hAnsi="Arial"/>
          <w:sz w:val="20"/>
        </w:rPr>
        <w:t xml:space="preserve">, jakie mogą się pojawić w związku z realizacją Projektu PPP. </w:t>
      </w:r>
    </w:p>
    <w:p w:rsidR="009B0E4B" w:rsidRPr="00601916" w:rsidRDefault="009B0E4B" w:rsidP="009B0E4B">
      <w:pPr>
        <w:pStyle w:val="Listapunktowana"/>
        <w:numPr>
          <w:ilvl w:val="0"/>
          <w:numId w:val="3"/>
        </w:numPr>
        <w:ind w:left="567" w:hanging="283"/>
        <w:jc w:val="both"/>
      </w:pPr>
      <w:r w:rsidRPr="00601916">
        <w:t xml:space="preserve">wskazanie i uzasadnienie rekomendowanego podziału zadań i </w:t>
      </w:r>
      <w:proofErr w:type="spellStart"/>
      <w:r w:rsidRPr="00601916">
        <w:t>ryzyk</w:t>
      </w:r>
      <w:proofErr w:type="spellEnd"/>
      <w:r w:rsidRPr="00601916">
        <w:t xml:space="preserve"> pomiędzy stronami w </w:t>
      </w:r>
      <w:r w:rsidRPr="00601916">
        <w:lastRenderedPageBreak/>
        <w:t>Projekcie PPP na etapie inwestycyjnym i operacyjnym Projektu PPP.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prawne</w:t>
      </w:r>
    </w:p>
    <w:p w:rsidR="009B0E4B" w:rsidRPr="00601916" w:rsidRDefault="009B0E4B" w:rsidP="009B0E4B">
      <w:pPr>
        <w:jc w:val="both"/>
      </w:pPr>
      <w:r w:rsidRPr="00601916">
        <w:t>W ramach analiz prawnych Wykonawca powinien wykonać: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>analizę możliwości realizacji Projektu PPP wraz z analizą dostępnych modeli prawnych realizacji Projektu PPP;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>analizę sposobu oraz trybu wyboru Partnera Prywatnego (dla konkretnego rekomendowanego modelu realizacji Projektu PPP) i wskazanie właściwych z punktu widzenia powodzenia Projektu PPP warunków udziału w postępowaniu, kryteriów selekcji oraz kryteriów oceny ofert;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>analizę stanu prawnego składnika majątkowego Podmiotu Publicznego wraz ze wskazaniem możliwych form wniesienia tego składnika do Projektu PPP, w tym: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>ustalenie możliwości wniesienia planowanego składnika do Projektu PPP;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 xml:space="preserve">wskazanie możliwych form wniesienia składnika majątkowego do Projektu PPP wraz z rekomendacją; 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>ustalenie koniecznych działań do podjęcia przez Podmiot Publiczny w celu wniesienia składnika majątkowego do Projektu PPP;</w:t>
      </w:r>
    </w:p>
    <w:p w:rsidR="009B0E4B" w:rsidRPr="00601916" w:rsidRDefault="009B0E4B" w:rsidP="009B0E4B">
      <w:pPr>
        <w:pStyle w:val="Listapunktowana"/>
        <w:numPr>
          <w:ilvl w:val="0"/>
          <w:numId w:val="11"/>
        </w:numPr>
        <w:jc w:val="both"/>
      </w:pPr>
      <w:r w:rsidRPr="00601916">
        <w:t xml:space="preserve">zidentyfikowanie </w:t>
      </w:r>
      <w:proofErr w:type="spellStart"/>
      <w:r w:rsidRPr="00601916">
        <w:t>ryzyk</w:t>
      </w:r>
      <w:proofErr w:type="spellEnd"/>
      <w:r w:rsidRPr="00601916">
        <w:t xml:space="preserve"> związanych ze stanem prawnym składnika majątkowego.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podatkowe</w:t>
      </w:r>
    </w:p>
    <w:p w:rsidR="009B0E4B" w:rsidRPr="00601916" w:rsidRDefault="009B0E4B" w:rsidP="009B0E4B">
      <w:pPr>
        <w:jc w:val="both"/>
      </w:pPr>
      <w:r w:rsidRPr="00601916">
        <w:t>W ramach analiz podatkowych Wykonawca powinien przeprowadzić: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identyfikację planowanych w ramach Projektu PPP transakcji / świadczeń Partnera Prywatnego i Podmiotu Publicznego;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identyfikację innych operacji i okoliczności, które mogą mieć skutki podatkowe (przykładowo, uzyskiwanie dotacji, dokonywanie korekt, płatności o charakterze odszkodowawczym, posiadanie nieruchomości);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analizę w zakresie podatku od towarów i usług (VAT), w tym w szczególności powinien ustalić: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klasyfikację podatkową planowanych świadczeń każdego z podmiotów;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zakres i sposób opodatkowania dla poszczególnych świadczeń;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podstawy opodatkowania oraz stawki podatku;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terminy płatności zobowiązań podatkowych;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możliwość odliczenia podatku VAT naliczonego od podatku VAT należnego dla Partnera Prywatnego i Podmiotu Publicznego, ograniczenia w ww. zakresie wynikające z obowiązujących przepisów;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wpływu powyższego na koszty Projektu PPP;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analizę w zakresie podatku dochodowego od osób prawnych (CIT), w tym w szczególności ustalenie;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wpływu planowanych świadczeń na przychody i koszty wykazywane w związku z Projektem, w tym, moment ich rozpoznania dla celów CIT;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klasyfikację do źródła przychodów;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ewentualnych ograniczeń w zakresie rozpoznawania kosztów podatkowych, w szczególności kosztów związanych z finansowaniem czy kosztów tzw. usług niematerialnych;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podstawy opodatkowania, z uwzględnieniem sytuacji, gdy wartość rynkowa odbiega od ceny rynkowej;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terminów płatności zobowiązań podatkowych;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lastRenderedPageBreak/>
        <w:t>zasad rozliczania straty podatkowej, z uwzględnieniem ograniczeń wynikających z obowiązujących przepisów;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analizę w zakresie podatku od nieruchomości, mającą na celu przede wszystkim ustalenia, na którym z podmiotów spoczywa obowiązek podatkowy i jaka jest podstawa opodatkowania;</w:t>
      </w:r>
    </w:p>
    <w:p w:rsidR="009B0E4B" w:rsidRPr="00601916" w:rsidRDefault="009B0E4B" w:rsidP="009B0E4B">
      <w:pPr>
        <w:pStyle w:val="Listapunktowana"/>
        <w:numPr>
          <w:ilvl w:val="0"/>
          <w:numId w:val="4"/>
        </w:numPr>
        <w:jc w:val="both"/>
      </w:pPr>
      <w:r w:rsidRPr="00601916">
        <w:t>analizę w zakresie innych podatków, o ile dotyczą Projektu PPP np. podatków od czynności cywilnoprawnych, podatków akcyzowych.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rynkowe</w:t>
      </w:r>
    </w:p>
    <w:p w:rsidR="009B0E4B" w:rsidRPr="00601916" w:rsidRDefault="009B0E4B" w:rsidP="009B0E4B">
      <w:pPr>
        <w:jc w:val="both"/>
      </w:pPr>
      <w:r w:rsidRPr="00601916">
        <w:t>W ramach analiz rynkowych Wykonawca:</w:t>
      </w:r>
    </w:p>
    <w:p w:rsidR="009B0E4B" w:rsidRPr="00601916" w:rsidRDefault="009B0E4B" w:rsidP="009B0E4B">
      <w:pPr>
        <w:pStyle w:val="Listapunktowana"/>
        <w:numPr>
          <w:ilvl w:val="0"/>
          <w:numId w:val="7"/>
        </w:numPr>
        <w:jc w:val="both"/>
      </w:pPr>
      <w:r w:rsidRPr="00601916">
        <w:t>przygotuje memorandum informacyjne dla Projektu PPP lub inne dokumenty informacyjne oraz kwestionariusze dla uczestników badania rynku, zawierające następujące informacje:</w:t>
      </w:r>
    </w:p>
    <w:p w:rsidR="009B0E4B" w:rsidRPr="00601916" w:rsidRDefault="009B0E4B" w:rsidP="009B0E4B">
      <w:pPr>
        <w:pStyle w:val="Listapunktowana2"/>
        <w:jc w:val="both"/>
      </w:pPr>
      <w:r w:rsidRPr="00601916">
        <w:t>wprowadzenie do Projektu PPP, jego cele strategiczne i prezentacja Podmiotu Publicznego;</w:t>
      </w:r>
    </w:p>
    <w:p w:rsidR="009B0E4B" w:rsidRPr="00601916" w:rsidRDefault="009B0E4B" w:rsidP="009B0E4B">
      <w:pPr>
        <w:pStyle w:val="Listapunktowana2"/>
        <w:jc w:val="both"/>
      </w:pPr>
      <w:r w:rsidRPr="00601916">
        <w:t>zakres Projektu PPP, w tym określenie infrastruktury (stan obecny oraz planowany po realizacji Projektu PPP) oczekiwanych standardów świadczenia usług przez Partnera Prywatnego;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wstępną zakładaną alokację </w:t>
      </w:r>
      <w:proofErr w:type="spellStart"/>
      <w:r w:rsidRPr="00601916">
        <w:t>ryzyk</w:t>
      </w:r>
      <w:proofErr w:type="spellEnd"/>
      <w:r w:rsidRPr="00601916">
        <w:t xml:space="preserve"> oraz określenie zadań do przekazania Partnerowi Prywatnemu;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identyfikację kluczowych </w:t>
      </w:r>
      <w:proofErr w:type="spellStart"/>
      <w:r w:rsidRPr="00601916">
        <w:t>ryzyk</w:t>
      </w:r>
      <w:proofErr w:type="spellEnd"/>
      <w:r w:rsidRPr="00601916">
        <w:t xml:space="preserve"> technicznych, które mogą wpływać na możliwość realizacji Projektu,</w:t>
      </w:r>
    </w:p>
    <w:p w:rsidR="009B0E4B" w:rsidRPr="00601916" w:rsidRDefault="009B0E4B" w:rsidP="009B0E4B">
      <w:pPr>
        <w:pStyle w:val="Listapunktowana2"/>
        <w:jc w:val="both"/>
      </w:pPr>
      <w:r w:rsidRPr="00601916">
        <w:t>szacunkową wielkość nakładów inwestycyjnych i kosztów operacyjnych;</w:t>
      </w:r>
    </w:p>
    <w:p w:rsidR="009B0E4B" w:rsidRPr="00601916" w:rsidRDefault="009B0E4B" w:rsidP="009B0E4B">
      <w:pPr>
        <w:pStyle w:val="Listapunktowana2"/>
        <w:jc w:val="both"/>
      </w:pPr>
      <w:r w:rsidRPr="00601916">
        <w:t>potencjalne źródła przychodów na etapie operacyjnym;</w:t>
      </w:r>
    </w:p>
    <w:p w:rsidR="009B0E4B" w:rsidRPr="00601916" w:rsidRDefault="009B0E4B" w:rsidP="009B0E4B">
      <w:pPr>
        <w:pStyle w:val="Listapunktowana2"/>
        <w:jc w:val="both"/>
      </w:pPr>
      <w:r w:rsidRPr="00601916">
        <w:t>planowany Mechanizm Wynagradzania Partnera Prywatnego;</w:t>
      </w:r>
    </w:p>
    <w:p w:rsidR="009B0E4B" w:rsidRPr="00601916" w:rsidRDefault="009B0E4B" w:rsidP="009B0E4B">
      <w:pPr>
        <w:pStyle w:val="Listapunktowana2"/>
        <w:jc w:val="both"/>
      </w:pPr>
      <w:r w:rsidRPr="00601916">
        <w:t>strukturę finansową;</w:t>
      </w:r>
    </w:p>
    <w:p w:rsidR="009B0E4B" w:rsidRPr="00601916" w:rsidRDefault="009B0E4B" w:rsidP="009B0E4B">
      <w:pPr>
        <w:pStyle w:val="Listapunktowana2"/>
        <w:jc w:val="both"/>
      </w:pPr>
      <w:r w:rsidRPr="00601916">
        <w:t>strukturę prawną;</w:t>
      </w:r>
    </w:p>
    <w:p w:rsidR="009B0E4B" w:rsidRPr="00601916" w:rsidRDefault="009B0E4B" w:rsidP="009B0E4B">
      <w:pPr>
        <w:pStyle w:val="Listapunktowana2"/>
        <w:jc w:val="both"/>
      </w:pPr>
      <w:r w:rsidRPr="00601916">
        <w:t>opis postępowania na wybór Partnera Prywatnego;</w:t>
      </w:r>
    </w:p>
    <w:p w:rsidR="009B0E4B" w:rsidRPr="00601916" w:rsidRDefault="009B0E4B" w:rsidP="009B0E4B">
      <w:pPr>
        <w:pStyle w:val="Listapunktowana2"/>
        <w:jc w:val="both"/>
      </w:pPr>
      <w:r w:rsidRPr="00601916">
        <w:t>proponowany harmonogram przygotowania i realizacji Projektu PPP (w tym fazy projektowania, budowy i utrzymania);</w:t>
      </w:r>
    </w:p>
    <w:p w:rsidR="009B0E4B" w:rsidRPr="00601916" w:rsidRDefault="009B0E4B" w:rsidP="009B0E4B">
      <w:pPr>
        <w:pStyle w:val="Listapunktowana2"/>
        <w:jc w:val="both"/>
      </w:pPr>
      <w:r w:rsidRPr="00601916">
        <w:t>wskazanie interesariuszy i strukturę organizacji Projektu PPP;</w:t>
      </w:r>
    </w:p>
    <w:p w:rsidR="009B0E4B" w:rsidRPr="00601916" w:rsidRDefault="009B0E4B" w:rsidP="009B0E4B">
      <w:pPr>
        <w:pStyle w:val="Listapunktowana2"/>
        <w:jc w:val="both"/>
      </w:pPr>
      <w:r w:rsidRPr="00601916">
        <w:t>listę dostępnych dokumentów / analiz / pozwoleń;</w:t>
      </w:r>
    </w:p>
    <w:p w:rsidR="009B0E4B" w:rsidRPr="00601916" w:rsidRDefault="009B0E4B" w:rsidP="009B0E4B">
      <w:pPr>
        <w:pStyle w:val="Listapunktowana2"/>
        <w:jc w:val="both"/>
      </w:pPr>
      <w:r w:rsidRPr="00601916">
        <w:t>kwestionariusz z pytaniami do Partnerów Prywatnych;</w:t>
      </w:r>
    </w:p>
    <w:p w:rsidR="009B0E4B" w:rsidRPr="00601916" w:rsidRDefault="009B0E4B" w:rsidP="009B0E4B">
      <w:pPr>
        <w:pStyle w:val="Listapunktowana2"/>
        <w:jc w:val="both"/>
      </w:pPr>
      <w:r w:rsidRPr="00601916">
        <w:t>kwestionariusz z pytaniami do Instytucji Finansujących.</w:t>
      </w:r>
    </w:p>
    <w:p w:rsidR="009B0E4B" w:rsidRPr="00601916" w:rsidRDefault="009B0E4B" w:rsidP="009B0E4B">
      <w:pPr>
        <w:pStyle w:val="Listapunktowana"/>
        <w:numPr>
          <w:ilvl w:val="0"/>
          <w:numId w:val="7"/>
        </w:numPr>
        <w:jc w:val="both"/>
      </w:pPr>
      <w:r w:rsidRPr="00601916">
        <w:t>przeprowadzi testowanie rynku z co najmniej […] podmiotami uprzednio zaakceptowanymi przez Podmiot Publiczny reprezentującymi potencjalnych Partnerów Prywatnych (wykonawców robót budowlanych i podmioty utrzymujące) oraz instytucje finansujące;</w:t>
      </w:r>
    </w:p>
    <w:p w:rsidR="009B0E4B" w:rsidRPr="00601916" w:rsidRDefault="009B0E4B" w:rsidP="009B0E4B">
      <w:pPr>
        <w:pStyle w:val="Listapunktowana"/>
        <w:numPr>
          <w:ilvl w:val="0"/>
          <w:numId w:val="7"/>
        </w:numPr>
        <w:jc w:val="both"/>
      </w:pPr>
      <w:r w:rsidRPr="00601916">
        <w:t>przygotuje raport zawierający wnioski z badania rynku i rekomendacje dotyczące uwzględnienia tych wniosków na etapie dalszych prac.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Analizy ekonomiczno-finansowe</w:t>
      </w:r>
    </w:p>
    <w:p w:rsidR="009B0E4B" w:rsidRPr="00601916" w:rsidRDefault="009B0E4B" w:rsidP="009B0E4B">
      <w:pPr>
        <w:jc w:val="both"/>
      </w:pPr>
      <w:r w:rsidRPr="00601916">
        <w:t>Analizy ekonomiczno-finansowe obejmą: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>analizę potencjału komercyjno-finansowego Projektu PPP – weryfikację wykonalności poszczególnych wariantów projektu w formule PPP poprzez ocenę ich potencjału komercyjnego i </w:t>
      </w:r>
      <w:proofErr w:type="spellStart"/>
      <w:r w:rsidRPr="00601916">
        <w:t>bankowalności</w:t>
      </w:r>
      <w:proofErr w:type="spellEnd"/>
      <w:r w:rsidRPr="00601916">
        <w:t xml:space="preserve"> przy zadanych założeniach oraz porównanie rozważanych wariantów;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 xml:space="preserve">analizę kosztów i korzyści projektu PPP – analizę wariantów realizacji przedsięwzięcia </w:t>
      </w:r>
      <w:r w:rsidRPr="00601916">
        <w:lastRenderedPageBreak/>
        <w:t xml:space="preserve">w formule PPP z perspektywy ekonomicznej i ocenę zasadności realizacji projektu przez Podmiot Publiczny; 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 xml:space="preserve">ocenę skutków finansowych realizacji projektu PPP dla budżetu Podmiotu Publicznego w wybranym wariancie optymalnym i ocenę dostępności finansowej lub ocenę dostępności finansowej dla Użytkowników (ang. </w:t>
      </w:r>
      <w:proofErr w:type="spellStart"/>
      <w:r w:rsidRPr="00601916">
        <w:rPr>
          <w:i/>
        </w:rPr>
        <w:t>affordability</w:t>
      </w:r>
      <w:proofErr w:type="spellEnd"/>
      <w:r w:rsidRPr="00601916">
        <w:rPr>
          <w:i/>
        </w:rPr>
        <w:t>);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>analizę ekonomiczną, obejmującą:</w:t>
      </w:r>
    </w:p>
    <w:p w:rsidR="009B0E4B" w:rsidRPr="00601916" w:rsidRDefault="009B0E4B" w:rsidP="009B0E4B">
      <w:pPr>
        <w:pStyle w:val="Listapunktowana"/>
        <w:numPr>
          <w:ilvl w:val="1"/>
          <w:numId w:val="6"/>
        </w:numPr>
        <w:jc w:val="both"/>
      </w:pPr>
      <w:r w:rsidRPr="00601916">
        <w:t>przeliczenie cen rynkowych na ceny dualne i korekta fiskalna;</w:t>
      </w:r>
    </w:p>
    <w:p w:rsidR="009B0E4B" w:rsidRPr="00601916" w:rsidRDefault="009B0E4B" w:rsidP="009B0E4B">
      <w:pPr>
        <w:pStyle w:val="Listapunktowana"/>
        <w:numPr>
          <w:ilvl w:val="1"/>
          <w:numId w:val="6"/>
        </w:numPr>
        <w:jc w:val="both"/>
      </w:pPr>
      <w:proofErr w:type="spellStart"/>
      <w:r w:rsidRPr="00601916">
        <w:t>monetyzację</w:t>
      </w:r>
      <w:proofErr w:type="spellEnd"/>
      <w:r w:rsidRPr="00601916">
        <w:t xml:space="preserve"> kosztów i korzyści ekonomiczno-społecznych (efektów zewnętrznych);</w:t>
      </w:r>
    </w:p>
    <w:p w:rsidR="009B0E4B" w:rsidRPr="00601916" w:rsidRDefault="009B0E4B" w:rsidP="009B0E4B">
      <w:pPr>
        <w:pStyle w:val="Listapunktowana"/>
        <w:numPr>
          <w:ilvl w:val="1"/>
          <w:numId w:val="6"/>
        </w:numPr>
        <w:jc w:val="both"/>
      </w:pPr>
      <w:r w:rsidRPr="00601916">
        <w:t>zdyskontowanie oszacowanych kosztów i korzyści;</w:t>
      </w:r>
    </w:p>
    <w:p w:rsidR="009B0E4B" w:rsidRPr="00601916" w:rsidRDefault="009B0E4B" w:rsidP="009B0E4B">
      <w:pPr>
        <w:pStyle w:val="Listapunktowana"/>
        <w:numPr>
          <w:ilvl w:val="1"/>
          <w:numId w:val="6"/>
        </w:numPr>
        <w:jc w:val="both"/>
      </w:pPr>
      <w:r w:rsidRPr="00601916">
        <w:t>obliczenie wskaźników efektywności ekonomicznej;</w:t>
      </w:r>
    </w:p>
    <w:p w:rsidR="009B0E4B" w:rsidRPr="00601916" w:rsidRDefault="009B0E4B" w:rsidP="009B0E4B">
      <w:pPr>
        <w:pStyle w:val="Listapunktowana"/>
        <w:numPr>
          <w:ilvl w:val="1"/>
          <w:numId w:val="6"/>
        </w:numPr>
        <w:jc w:val="both"/>
      </w:pPr>
      <w:r w:rsidRPr="00601916">
        <w:t>porównanie wyników analizy ekonomicznej w rozważanych wariantach.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 xml:space="preserve">analizę możliwości pozyskania finansowania ze środków UE oraz rekomendacje odnośnie zasadności włączenia środków UE do Projektu i ich wpływu na </w:t>
      </w:r>
      <w:proofErr w:type="spellStart"/>
      <w:r w:rsidRPr="00601916">
        <w:t>bankowalność</w:t>
      </w:r>
      <w:proofErr w:type="spellEnd"/>
      <w:r w:rsidRPr="00601916">
        <w:t>;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>analizę wrażliwości;</w:t>
      </w:r>
    </w:p>
    <w:p w:rsidR="009B0E4B" w:rsidRPr="00601916" w:rsidRDefault="009B0E4B" w:rsidP="009B0E4B">
      <w:pPr>
        <w:pStyle w:val="Listapunktowana"/>
        <w:numPr>
          <w:ilvl w:val="0"/>
          <w:numId w:val="6"/>
        </w:numPr>
        <w:jc w:val="both"/>
      </w:pPr>
      <w:r w:rsidRPr="00601916">
        <w:t>analizę wpływu zobowiązań z Umowy o PPP na bilans Podmiotu Publicznego oraz państwowy dług publiczny.</w:t>
      </w:r>
    </w:p>
    <w:p w:rsidR="009B0E4B" w:rsidRPr="00601916" w:rsidRDefault="009B0E4B" w:rsidP="009B0E4B">
      <w:pPr>
        <w:jc w:val="both"/>
      </w:pPr>
      <w:r w:rsidRPr="00601916">
        <w:t>Wykonawca przygotuje model finansowy Projektu PPP. Model finansowy przygotowany zostanie w formie powiązanych ze sobą arkuszy kalkulacyjnych w programie MS Excel zawierających aktywne formuły i obejmie:</w:t>
      </w:r>
    </w:p>
    <w:p w:rsidR="009B0E4B" w:rsidRPr="00601916" w:rsidRDefault="009B0E4B" w:rsidP="009B0E4B">
      <w:pPr>
        <w:pStyle w:val="Listapunktowana"/>
        <w:numPr>
          <w:ilvl w:val="0"/>
          <w:numId w:val="10"/>
        </w:numPr>
        <w:jc w:val="both"/>
      </w:pPr>
      <w:r w:rsidRPr="00601916">
        <w:t>Prognozę Partnera Prywatnego, w tym: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prognozowany poziom nakładów inwestycyjnych; </w:t>
      </w:r>
    </w:p>
    <w:p w:rsidR="009B0E4B" w:rsidRPr="00601916" w:rsidRDefault="009B0E4B" w:rsidP="009B0E4B">
      <w:pPr>
        <w:pStyle w:val="Listapunktowana2"/>
        <w:jc w:val="both"/>
      </w:pPr>
      <w:r w:rsidRPr="00601916">
        <w:t>prognozowany poziom kosztów operacyjnych (w tym prac remontowych) przedsięwzięcia;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prognozowany poziom podatków CIT, VAT oraz innych podatków i opłat; </w:t>
      </w:r>
    </w:p>
    <w:p w:rsidR="009B0E4B" w:rsidRPr="00601916" w:rsidRDefault="009B0E4B" w:rsidP="009B0E4B">
      <w:pPr>
        <w:pStyle w:val="Listapunktowana2"/>
        <w:jc w:val="both"/>
      </w:pPr>
      <w:r w:rsidRPr="00601916">
        <w:t>kwantyfikację ryzyka będącego przedmiotem przekazania Spółce PPP lub Partnerowi Prywatnemu;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określenie źródeł finansowania przedsięwzięcia i ich struktury (np. dług, kapitał własny, pożyczki podporządkowane) oraz poziomu ich zaangażowania; </w:t>
      </w:r>
    </w:p>
    <w:p w:rsidR="009B0E4B" w:rsidRPr="00601916" w:rsidRDefault="009B0E4B" w:rsidP="009B0E4B">
      <w:pPr>
        <w:pStyle w:val="Listapunktowana2"/>
        <w:jc w:val="both"/>
      </w:pPr>
      <w:r w:rsidRPr="00601916">
        <w:t>prognozowany poziom kosztów finansowych przedsięwzięcia;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zakładane </w:t>
      </w:r>
      <w:proofErr w:type="spellStart"/>
      <w:r w:rsidRPr="00601916">
        <w:t>kowenanty</w:t>
      </w:r>
      <w:proofErr w:type="spellEnd"/>
      <w:r w:rsidRPr="00601916">
        <w:t xml:space="preserve"> (dodatkowe zobowiązania) oraz rachunki rezerwowe wymagane przez instytucje finansujące;</w:t>
      </w:r>
    </w:p>
    <w:p w:rsidR="009B0E4B" w:rsidRPr="00601916" w:rsidRDefault="009B0E4B" w:rsidP="009B0E4B">
      <w:pPr>
        <w:pStyle w:val="Listapunktowana2"/>
        <w:jc w:val="both"/>
      </w:pPr>
      <w:r w:rsidRPr="00601916">
        <w:t>zapotrzebowanie na kapitał obrotowy;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wartość rezydualną projektu Partnera Prywatnego (końcowa płatność od Podmiotu Publicznego), jeżeli występuje; </w:t>
      </w:r>
    </w:p>
    <w:p w:rsidR="009B0E4B" w:rsidRPr="00601916" w:rsidRDefault="009B0E4B" w:rsidP="009B0E4B">
      <w:pPr>
        <w:pStyle w:val="Listapunktowana2"/>
        <w:jc w:val="both"/>
      </w:pPr>
      <w:r w:rsidRPr="00601916">
        <w:t>prognozowane przychody Partnera Prywatnego (poziom Opłaty za Dostępność i innych elementów wynagrodzenia, przychody z Opłat od Użytkowników, przychody od podmiotów trzecich, dopłaty od Podmiotu Publicznego);</w:t>
      </w:r>
    </w:p>
    <w:p w:rsidR="009B0E4B" w:rsidRPr="00601916" w:rsidRDefault="009B0E4B" w:rsidP="009B0E4B">
      <w:pPr>
        <w:pStyle w:val="Listapunktowana2"/>
        <w:jc w:val="both"/>
      </w:pPr>
      <w:r w:rsidRPr="00601916">
        <w:t>prognozowana dystrybucja zysków Partnera Prywatnego (np. w formie dywidendy, odsetek i spłat kapitału od pożyczek podporządkowanych);</w:t>
      </w:r>
    </w:p>
    <w:p w:rsidR="009B0E4B" w:rsidRPr="00601916" w:rsidRDefault="009B0E4B" w:rsidP="009B0E4B">
      <w:pPr>
        <w:pStyle w:val="Listapunktowana2"/>
        <w:jc w:val="both"/>
      </w:pPr>
      <w:r w:rsidRPr="00601916">
        <w:t>sprawozdania finansowe Partnera Prywatnego (rachunek zysków i strat, bilans, rachunek przepływów pieniężnych);</w:t>
      </w:r>
    </w:p>
    <w:p w:rsidR="009B0E4B" w:rsidRPr="00601916" w:rsidRDefault="009B0E4B" w:rsidP="009B0E4B">
      <w:pPr>
        <w:pStyle w:val="Listapunktowana2"/>
        <w:jc w:val="both"/>
      </w:pPr>
      <w:r w:rsidRPr="00601916">
        <w:t xml:space="preserve">wolne przepływy pieniężne dla projektu (ang. </w:t>
      </w:r>
      <w:proofErr w:type="spellStart"/>
      <w:r w:rsidRPr="00601916">
        <w:t>Free</w:t>
      </w:r>
      <w:proofErr w:type="spellEnd"/>
      <w:r w:rsidRPr="00601916">
        <w:t xml:space="preserve"> Cash </w:t>
      </w:r>
      <w:proofErr w:type="spellStart"/>
      <w:r w:rsidRPr="00601916">
        <w:t>Flow</w:t>
      </w:r>
      <w:proofErr w:type="spellEnd"/>
      <w:r w:rsidRPr="00601916">
        <w:t xml:space="preserve"> to Firm, FCFF) oraz wolne przepływy pieniężne dla właścicieli kapitału własnego (ang. </w:t>
      </w:r>
      <w:proofErr w:type="spellStart"/>
      <w:r w:rsidRPr="00601916">
        <w:t>Free</w:t>
      </w:r>
      <w:proofErr w:type="spellEnd"/>
      <w:r w:rsidRPr="00601916">
        <w:t xml:space="preserve"> Cash </w:t>
      </w:r>
      <w:proofErr w:type="spellStart"/>
      <w:r w:rsidRPr="00601916">
        <w:t>Flow</w:t>
      </w:r>
      <w:proofErr w:type="spellEnd"/>
      <w:r w:rsidRPr="00601916">
        <w:t xml:space="preserve"> to Equity, FCFE); </w:t>
      </w:r>
    </w:p>
    <w:p w:rsidR="009B0E4B" w:rsidRPr="00601916" w:rsidRDefault="009B0E4B" w:rsidP="009B0E4B">
      <w:pPr>
        <w:pStyle w:val="Listapunktowana2"/>
        <w:jc w:val="both"/>
      </w:pPr>
      <w:r w:rsidRPr="00601916">
        <w:lastRenderedPageBreak/>
        <w:t>wskaźniki NPV i IRR dla projektu i dla właścicieli kapitału własnego.</w:t>
      </w:r>
    </w:p>
    <w:p w:rsidR="009B0E4B" w:rsidRPr="00601916" w:rsidRDefault="009B0E4B" w:rsidP="009B0E4B">
      <w:pPr>
        <w:pStyle w:val="Listapunktowana"/>
        <w:numPr>
          <w:ilvl w:val="0"/>
          <w:numId w:val="10"/>
        </w:numPr>
        <w:jc w:val="both"/>
      </w:pPr>
      <w:r w:rsidRPr="00601916">
        <w:t>Prognozę Podmiotu Publicznego, w tym:</w:t>
      </w:r>
    </w:p>
    <w:p w:rsidR="009B0E4B" w:rsidRPr="00601916" w:rsidRDefault="009B0E4B" w:rsidP="009B0E4B">
      <w:pPr>
        <w:pStyle w:val="Listapunktowana2"/>
        <w:jc w:val="both"/>
      </w:pPr>
      <w:r w:rsidRPr="00601916">
        <w:t>przepływy dla Podmiotu Publicznego (poziom Opłaty za Dostępność i innych elementów wynagrodzenia, wpływy z Opłat od Użytkowników i podmiotów trzecich);</w:t>
      </w:r>
    </w:p>
    <w:p w:rsidR="009B0E4B" w:rsidRPr="00601916" w:rsidRDefault="009B0E4B" w:rsidP="009B0E4B">
      <w:pPr>
        <w:pStyle w:val="Listapunktowana2"/>
        <w:jc w:val="both"/>
      </w:pPr>
      <w:r w:rsidRPr="00601916">
        <w:t>wartość rezydualną projektu dla Podmiotu Publicznego, jeżeli występuje;</w:t>
      </w:r>
    </w:p>
    <w:p w:rsidR="009B0E4B" w:rsidRPr="00601916" w:rsidRDefault="009B0E4B" w:rsidP="009B0E4B">
      <w:pPr>
        <w:pStyle w:val="Listapunktowana2"/>
        <w:jc w:val="both"/>
      </w:pPr>
      <w:r w:rsidRPr="00601916">
        <w:t>wskaźniki NPV i IRR (IRR w przypadku projektów generujących dochód) dla Podmiotu Publicznego;</w:t>
      </w:r>
    </w:p>
    <w:p w:rsidR="009B0E4B" w:rsidRPr="00601916" w:rsidRDefault="009B0E4B" w:rsidP="009B0E4B">
      <w:pPr>
        <w:pStyle w:val="Listapunktowana2"/>
        <w:jc w:val="both"/>
      </w:pPr>
      <w:r w:rsidRPr="00601916">
        <w:t>wpływ projektu na budżet Podmiotu Publicznego (np. jednostki samorządu terytorialnego), w przypadku projektów niegenerujących dochodu.</w:t>
      </w:r>
    </w:p>
    <w:p w:rsidR="009B0E4B" w:rsidRPr="00601916" w:rsidRDefault="009B0E4B" w:rsidP="009B0E4B">
      <w:pPr>
        <w:pStyle w:val="Normal2"/>
        <w:ind w:left="0"/>
        <w:jc w:val="both"/>
      </w:pPr>
      <w:r w:rsidRPr="00601916">
        <w:t>Model finansowy zostanie przygotowany dla dwóch założonych okresów Umowy o PPP.</w:t>
      </w:r>
    </w:p>
    <w:p w:rsidR="009B0E4B" w:rsidRPr="00601916" w:rsidRDefault="009B0E4B" w:rsidP="009B0E4B">
      <w:pPr>
        <w:pStyle w:val="Lista-kontynuacja"/>
        <w:numPr>
          <w:ilvl w:val="0"/>
          <w:numId w:val="14"/>
        </w:numPr>
        <w:jc w:val="both"/>
      </w:pPr>
      <w:r w:rsidRPr="00601916">
        <w:t>Analiza Value for Money</w:t>
      </w:r>
    </w:p>
    <w:p w:rsidR="009B0E4B" w:rsidRPr="00601916" w:rsidRDefault="009B0E4B" w:rsidP="009B0E4B">
      <w:pPr>
        <w:jc w:val="both"/>
      </w:pPr>
      <w:r w:rsidRPr="00601916">
        <w:t>Wykonawca przygotuje:</w:t>
      </w:r>
    </w:p>
    <w:p w:rsidR="009B0E4B" w:rsidRPr="00601916" w:rsidRDefault="009B0E4B" w:rsidP="009B0E4B">
      <w:pPr>
        <w:pStyle w:val="Listapunktowana"/>
        <w:numPr>
          <w:ilvl w:val="0"/>
          <w:numId w:val="5"/>
        </w:numPr>
        <w:jc w:val="both"/>
      </w:pPr>
      <w:r w:rsidRPr="00601916">
        <w:t>analizę jakościową, obejmującą całościową ocenę potencjału dla efektywności w formule PPP w porównaniu do tradycyjnej formuły realizacji inwestycji, w tym wskazanie tych różnic pomiędzy scenariuszami, których nie da się skwantyfikować;</w:t>
      </w:r>
    </w:p>
    <w:p w:rsidR="009B0E4B" w:rsidRDefault="009B0E4B" w:rsidP="009B0E4B">
      <w:pPr>
        <w:pStyle w:val="Listapunktowana"/>
        <w:numPr>
          <w:ilvl w:val="0"/>
          <w:numId w:val="5"/>
        </w:numPr>
        <w:jc w:val="both"/>
      </w:pPr>
      <w:r w:rsidRPr="00601916">
        <w:t>analizę ilościową, w przypadku pozytywnego rezultatu analizy jakościowej, obejmującą oszacowanie wartości bieżącej projektu w dwóch scenariuszach: realizacji inwestycji metodą tradycyjną przez Podmiot Publiczny oraz w modelu PPP.</w:t>
      </w:r>
    </w:p>
    <w:p w:rsidR="009B0E4B" w:rsidRPr="00601916" w:rsidRDefault="009B0E4B" w:rsidP="009B0E4B">
      <w:pPr>
        <w:pStyle w:val="Listapunktowana"/>
        <w:numPr>
          <w:ilvl w:val="0"/>
          <w:numId w:val="0"/>
        </w:numPr>
        <w:ind w:left="720"/>
        <w:jc w:val="both"/>
      </w:pPr>
    </w:p>
    <w:p w:rsidR="009B0E4B" w:rsidRPr="00EB415D" w:rsidRDefault="009B0E4B" w:rsidP="009B0E4B">
      <w:pPr>
        <w:pStyle w:val="Lista-kontynuacja"/>
        <w:numPr>
          <w:ilvl w:val="0"/>
          <w:numId w:val="14"/>
        </w:numPr>
        <w:jc w:val="both"/>
      </w:pPr>
      <w:r w:rsidRPr="00EB415D">
        <w:t>Raport w zakresie rekomendacji i wniosków wraz z harmonogramem projektu PPP oraz analiza potrzeb Zamawiającego.</w:t>
      </w:r>
    </w:p>
    <w:p w:rsidR="009B0E4B" w:rsidRPr="00601916" w:rsidRDefault="009B0E4B" w:rsidP="009B0E4B">
      <w:pPr>
        <w:spacing w:line="360" w:lineRule="auto"/>
        <w:jc w:val="both"/>
      </w:pPr>
      <w:r w:rsidRPr="00601916">
        <w:t>W wyniku przeprowadzonych analiz Wykonawca wskaże optymalny wariant realizacji Projektu, dla którego prowadzone będzie dalsze postępowanie.</w:t>
      </w:r>
    </w:p>
    <w:p w:rsidR="009B0E4B" w:rsidRPr="008B59EC" w:rsidRDefault="009B0E4B" w:rsidP="009B0E4B">
      <w:pPr>
        <w:spacing w:after="210"/>
        <w:jc w:val="both"/>
      </w:pPr>
      <w:r w:rsidRPr="008B59EC">
        <w:t xml:space="preserve">W ramach </w:t>
      </w:r>
      <w:r>
        <w:t>zadania</w:t>
      </w:r>
      <w:r w:rsidRPr="008B59EC">
        <w:t xml:space="preserve"> Wykonawca przygotuje propozycję harmonogramu przygotowania Projektu PPP obejmującego wszystkie procesy związane z Projektem, w okresie od momentu ogłoszenia postępowania na wybór Partnera Prywatnego do Zamknięcia Finansowego, w tym aplikowania o środki UE. </w:t>
      </w:r>
    </w:p>
    <w:p w:rsidR="009B0E4B" w:rsidRPr="008B59EC" w:rsidRDefault="009B0E4B" w:rsidP="009B0E4B">
      <w:pPr>
        <w:jc w:val="both"/>
      </w:pPr>
      <w:r w:rsidRPr="008B59EC">
        <w:t xml:space="preserve">Ocena efektywności i płynące z niej wnioski powinny zostać przedstawione w osobnym raporcie. Raport ten powinien przedstawiać dane wejściowe i założenia do wykonanych analiz, wyniki poszczególnych analiz wraz z omówieniem oraz całościowe wnioski w zakresie wykonalności i efektywności realizacji projektu w formule PPP. </w:t>
      </w:r>
    </w:p>
    <w:p w:rsidR="009B0E4B" w:rsidRPr="00601916" w:rsidRDefault="009B0E4B" w:rsidP="009B0E4B">
      <w:pPr>
        <w:jc w:val="both"/>
        <w:rPr>
          <w:b/>
        </w:rPr>
      </w:pPr>
      <w:r w:rsidRPr="008B59EC">
        <w:rPr>
          <w:b/>
        </w:rPr>
        <w:t>Raport powinien być napisany w sposób, który zapewnia przekazanie jasnych, zrozumiałych i obiektywnych rekomendacji. Raport powinien w sposób spójny i dokładny prezentować zakres przeprowadzonych analiz oraz wypływające z nich wnioski.</w:t>
      </w:r>
      <w:r w:rsidRPr="00601916">
        <w:rPr>
          <w:b/>
        </w:rPr>
        <w:t xml:space="preserve"> </w:t>
      </w:r>
    </w:p>
    <w:p w:rsidR="009B0E4B" w:rsidRPr="00601916" w:rsidRDefault="009B0E4B" w:rsidP="009B0E4B">
      <w:pPr>
        <w:pStyle w:val="Lista-kontynuacja"/>
        <w:numPr>
          <w:ilvl w:val="0"/>
          <w:numId w:val="0"/>
        </w:numPr>
        <w:jc w:val="both"/>
        <w:rPr>
          <w:sz w:val="24"/>
          <w:szCs w:val="24"/>
        </w:rPr>
      </w:pPr>
    </w:p>
    <w:p w:rsidR="009B0E4B" w:rsidRPr="00601916" w:rsidRDefault="009B0E4B" w:rsidP="009B0E4B">
      <w:pPr>
        <w:pStyle w:val="Lista-kontynuacja"/>
        <w:numPr>
          <w:ilvl w:val="0"/>
          <w:numId w:val="0"/>
        </w:numPr>
        <w:jc w:val="both"/>
        <w:rPr>
          <w:sz w:val="24"/>
          <w:szCs w:val="24"/>
        </w:rPr>
      </w:pPr>
      <w:r w:rsidRPr="00601916">
        <w:rPr>
          <w:sz w:val="24"/>
          <w:szCs w:val="24"/>
        </w:rPr>
        <w:t xml:space="preserve">Etap </w:t>
      </w:r>
      <w:r>
        <w:rPr>
          <w:sz w:val="24"/>
          <w:szCs w:val="24"/>
        </w:rPr>
        <w:t>III</w:t>
      </w:r>
      <w:r w:rsidRPr="00601916">
        <w:rPr>
          <w:sz w:val="24"/>
          <w:szCs w:val="24"/>
        </w:rPr>
        <w:t xml:space="preserve">. </w:t>
      </w:r>
      <w:r w:rsidRPr="00D976BE">
        <w:rPr>
          <w:sz w:val="24"/>
          <w:szCs w:val="24"/>
        </w:rPr>
        <w:t xml:space="preserve">Opracowanie studium wykonalności inwestycji dla Projektu zgodnie z </w:t>
      </w:r>
      <w:r w:rsidRPr="00601524">
        <w:rPr>
          <w:sz w:val="24"/>
          <w:szCs w:val="24"/>
        </w:rPr>
        <w:t>założeniami konkursowymi Instytucji Zarządzającej.</w:t>
      </w:r>
    </w:p>
    <w:p w:rsidR="009B0E4B" w:rsidRPr="00601916" w:rsidRDefault="009B0E4B" w:rsidP="009B0E4B">
      <w:pPr>
        <w:jc w:val="both"/>
        <w:rPr>
          <w:b/>
        </w:rPr>
      </w:pPr>
    </w:p>
    <w:p w:rsidR="009B0E4B" w:rsidRPr="00601916" w:rsidRDefault="009B0E4B" w:rsidP="009B0E4B">
      <w:pPr>
        <w:jc w:val="both"/>
        <w:rPr>
          <w:b/>
          <w:sz w:val="24"/>
          <w:szCs w:val="24"/>
        </w:rPr>
      </w:pPr>
      <w:r w:rsidRPr="00601916">
        <w:rPr>
          <w:b/>
          <w:sz w:val="24"/>
          <w:szCs w:val="24"/>
        </w:rPr>
        <w:lastRenderedPageBreak/>
        <w:t>5. Wykonawca ma obowiązek sporządzenia wszelkich opracowań, analiz, projektów dokumentów zgodnie z:</w:t>
      </w:r>
    </w:p>
    <w:p w:rsidR="009B0E4B" w:rsidRPr="008B59EC" w:rsidRDefault="009B0E4B" w:rsidP="009B0E4B">
      <w:pPr>
        <w:jc w:val="both"/>
        <w:rPr>
          <w:szCs w:val="20"/>
        </w:rPr>
      </w:pPr>
      <w:r w:rsidRPr="008B59EC">
        <w:rPr>
          <w:szCs w:val="20"/>
        </w:rPr>
        <w:t xml:space="preserve">a) Wytycznymi dotyczącymi zagadnień związanych z przygotowaniem projektów inwestycyjnych, </w:t>
      </w:r>
      <w:r w:rsidR="00E010D8">
        <w:rPr>
          <w:szCs w:val="20"/>
        </w:rPr>
        <w:br/>
      </w:r>
      <w:r w:rsidRPr="008B59EC">
        <w:rPr>
          <w:szCs w:val="20"/>
        </w:rPr>
        <w:t>w tym hybrydowych na lata 2021-2027.</w:t>
      </w:r>
    </w:p>
    <w:p w:rsidR="009B0E4B" w:rsidRPr="008B59EC" w:rsidRDefault="009B0E4B" w:rsidP="009B0E4B">
      <w:pPr>
        <w:jc w:val="both"/>
        <w:rPr>
          <w:szCs w:val="20"/>
        </w:rPr>
      </w:pPr>
      <w:r w:rsidRPr="008B59EC">
        <w:rPr>
          <w:szCs w:val="20"/>
        </w:rPr>
        <w:t xml:space="preserve">b) Wytycznymi PPP (Tom I) dot. przygotowania projektów opracowanymi przez Ministerstwo Funduszy i Polityki Regionalnej ( </w:t>
      </w:r>
      <w:hyperlink r:id="rId7" w:history="1">
        <w:r w:rsidRPr="008B59EC">
          <w:rPr>
            <w:rStyle w:val="Hipercze"/>
            <w:szCs w:val="20"/>
          </w:rPr>
          <w:t>www.ppp.gov.pl</w:t>
        </w:r>
      </w:hyperlink>
      <w:r w:rsidRPr="008B59EC">
        <w:rPr>
          <w:szCs w:val="20"/>
        </w:rPr>
        <w:t>, zakładka: Baza wiedzy/Wytyczne PPP).</w:t>
      </w:r>
    </w:p>
    <w:p w:rsidR="009B0E4B" w:rsidRPr="008B59EC" w:rsidRDefault="009B0E4B" w:rsidP="009B0E4B">
      <w:pPr>
        <w:jc w:val="both"/>
        <w:rPr>
          <w:szCs w:val="20"/>
        </w:rPr>
      </w:pPr>
      <w:r w:rsidRPr="008B59EC">
        <w:rPr>
          <w:szCs w:val="20"/>
        </w:rPr>
        <w:t>c) Wytycznymi dotyczącymi kwalifikowalności na lata 2021-2027.</w:t>
      </w:r>
    </w:p>
    <w:p w:rsidR="009B0E4B" w:rsidRPr="008B59EC" w:rsidRDefault="009B0E4B" w:rsidP="009B0E4B">
      <w:pPr>
        <w:jc w:val="both"/>
        <w:rPr>
          <w:szCs w:val="20"/>
        </w:rPr>
      </w:pPr>
      <w:r w:rsidRPr="008B59EC">
        <w:rPr>
          <w:szCs w:val="20"/>
        </w:rPr>
        <w:t xml:space="preserve">d) Ustawą PPP z dnia 19 grudnia 2008 r. </w:t>
      </w:r>
    </w:p>
    <w:p w:rsidR="009B0E4B" w:rsidRPr="00601916" w:rsidRDefault="009B0E4B" w:rsidP="009B0E4B">
      <w:pPr>
        <w:pStyle w:val="Nagwek2"/>
        <w:jc w:val="both"/>
        <w:rPr>
          <w:color w:val="auto"/>
        </w:rPr>
      </w:pPr>
      <w:r>
        <w:rPr>
          <w:color w:val="auto"/>
        </w:rPr>
        <w:t>Odbiór prac w ramach etapów</w:t>
      </w:r>
      <w:r w:rsidRPr="00601916">
        <w:rPr>
          <w:color w:val="auto"/>
        </w:rPr>
        <w:t xml:space="preserve"> doradztwa i organizacja </w:t>
      </w:r>
    </w:p>
    <w:p w:rsidR="009B0E4B" w:rsidRPr="00601916" w:rsidRDefault="009B0E4B" w:rsidP="009B0E4B">
      <w:pPr>
        <w:jc w:val="both"/>
      </w:pPr>
      <w:r w:rsidRPr="00601916">
        <w:t xml:space="preserve">Wykonawca ma obowiązek przekazywać dokumenty do </w:t>
      </w:r>
      <w:r>
        <w:t>Zamawiającego</w:t>
      </w:r>
      <w:r w:rsidRPr="00601916">
        <w:t xml:space="preserve"> w 3 egzemplarzach w wersji papierowej i 1 na nośniku elektronicznym (format edytowalny – </w:t>
      </w:r>
      <w:proofErr w:type="spellStart"/>
      <w:r w:rsidRPr="00601916">
        <w:t>word</w:t>
      </w:r>
      <w:proofErr w:type="spellEnd"/>
      <w:r w:rsidRPr="00601916">
        <w:t xml:space="preserve">, </w:t>
      </w:r>
      <w:proofErr w:type="spellStart"/>
      <w:r w:rsidRPr="00601916">
        <w:t>excel</w:t>
      </w:r>
      <w:proofErr w:type="spellEnd"/>
      <w:r w:rsidRPr="00601916">
        <w:t xml:space="preserve"> oraz pdf.).</w:t>
      </w:r>
    </w:p>
    <w:p w:rsidR="009B0E4B" w:rsidRPr="00601916" w:rsidRDefault="009B0E4B" w:rsidP="009B0E4B">
      <w:pPr>
        <w:jc w:val="both"/>
      </w:pPr>
      <w:r w:rsidRPr="00601916">
        <w:t>Doradztwo wykonywane jest w języku polskim.</w:t>
      </w:r>
    </w:p>
    <w:p w:rsidR="009B0E4B" w:rsidRPr="00601916" w:rsidRDefault="009B0E4B" w:rsidP="009B0E4B">
      <w:pPr>
        <w:jc w:val="both"/>
      </w:pPr>
      <w:r w:rsidRPr="00601916">
        <w:t xml:space="preserve">W terminie 7 dni po zakończeniu </w:t>
      </w:r>
      <w:r w:rsidRPr="008B59EC">
        <w:rPr>
          <w:b/>
        </w:rPr>
        <w:t>każdego etapu realizacji</w:t>
      </w:r>
      <w:r w:rsidRPr="008B59EC">
        <w:t xml:space="preserve"> </w:t>
      </w:r>
      <w:r w:rsidRPr="00601916">
        <w:t>Wykonawca przygotuje i przekaże Zamawiającemu sprawozdanie z wykonania prac. Dokument ten będzie zawierać wyliczenie wszystkich dokumentów i usług wytworzonych przez Wykonawcę w trakcie realizacji Zamówienia</w:t>
      </w:r>
      <w:r>
        <w:t xml:space="preserve"> (danego etapu)</w:t>
      </w:r>
      <w:r w:rsidRPr="00601916">
        <w:t xml:space="preserve">. </w:t>
      </w:r>
      <w:bookmarkEnd w:id="1"/>
      <w:bookmarkEnd w:id="2"/>
      <w:bookmarkEnd w:id="3"/>
    </w:p>
    <w:p w:rsidR="009B0E4B" w:rsidRPr="007743A9" w:rsidRDefault="009B0E4B" w:rsidP="009B0E4B"/>
    <w:p w:rsidR="00356B41" w:rsidRDefault="00A012F2" w:rsidP="007E5D31">
      <w:pPr>
        <w:ind w:left="5664"/>
      </w:pPr>
    </w:p>
    <w:sectPr w:rsidR="00356B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AA" w:rsidRDefault="00BE6EAA" w:rsidP="007E5D31">
      <w:pPr>
        <w:spacing w:after="0" w:line="240" w:lineRule="auto"/>
      </w:pPr>
      <w:r>
        <w:separator/>
      </w:r>
    </w:p>
  </w:endnote>
  <w:endnote w:type="continuationSeparator" w:id="0">
    <w:p w:rsidR="00BE6EAA" w:rsidRDefault="00BE6EAA" w:rsidP="007E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31" w:rsidRDefault="007E5D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9559</wp:posOffset>
          </wp:positionH>
          <wp:positionV relativeFrom="page">
            <wp:posOffset>9620250</wp:posOffset>
          </wp:positionV>
          <wp:extent cx="7540882" cy="1076400"/>
          <wp:effectExtent l="0" t="0" r="0" b="0"/>
          <wp:wrapThrough wrapText="bothSides">
            <wp:wrapPolygon edited="0">
              <wp:start x="18935" y="4205"/>
              <wp:lineTo x="1528" y="5352"/>
              <wp:lineTo x="1528" y="13763"/>
              <wp:lineTo x="18935" y="14527"/>
              <wp:lineTo x="20409" y="14527"/>
              <wp:lineTo x="20463" y="4205"/>
              <wp:lineTo x="18935" y="420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882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AA" w:rsidRDefault="00BE6EAA" w:rsidP="007E5D31">
      <w:pPr>
        <w:spacing w:after="0" w:line="240" w:lineRule="auto"/>
      </w:pPr>
      <w:r>
        <w:separator/>
      </w:r>
    </w:p>
  </w:footnote>
  <w:footnote w:type="continuationSeparator" w:id="0">
    <w:p w:rsidR="00BE6EAA" w:rsidRDefault="00BE6EAA" w:rsidP="007E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31" w:rsidRDefault="007E5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60000" cy="1258984"/>
          <wp:effectExtent l="0" t="0" r="0" b="0"/>
          <wp:wrapThrough wrapText="bothSides">
            <wp:wrapPolygon edited="0">
              <wp:start x="16982" y="2942"/>
              <wp:lineTo x="9906" y="6212"/>
              <wp:lineTo x="1578" y="8827"/>
              <wp:lineTo x="1524" y="15693"/>
              <wp:lineTo x="1633" y="16674"/>
              <wp:lineTo x="14805" y="17328"/>
              <wp:lineTo x="19377" y="17328"/>
              <wp:lineTo x="19377" y="14059"/>
              <wp:lineTo x="19650" y="14059"/>
              <wp:lineTo x="20466" y="10135"/>
              <wp:lineTo x="20412" y="2942"/>
              <wp:lineTo x="16982" y="2942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8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D31" w:rsidRDefault="007E5D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4C4"/>
    <w:multiLevelType w:val="hybridMultilevel"/>
    <w:tmpl w:val="8A08CAC8"/>
    <w:lvl w:ilvl="0" w:tplc="0B02C030">
      <w:start w:val="1"/>
      <w:numFmt w:val="bullet"/>
      <w:pStyle w:val="Listapunktowana2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47EED"/>
    <w:multiLevelType w:val="multilevel"/>
    <w:tmpl w:val="901E333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83170B"/>
    <w:multiLevelType w:val="hybridMultilevel"/>
    <w:tmpl w:val="1C4628F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2986"/>
    <w:multiLevelType w:val="hybridMultilevel"/>
    <w:tmpl w:val="6CC4F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A3C94"/>
    <w:multiLevelType w:val="hybridMultilevel"/>
    <w:tmpl w:val="D138F5AC"/>
    <w:lvl w:ilvl="0" w:tplc="79D2DCF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36E0"/>
    <w:multiLevelType w:val="hybridMultilevel"/>
    <w:tmpl w:val="C860A196"/>
    <w:lvl w:ilvl="0" w:tplc="E7C2BA10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6" w15:restartNumberingAfterBreak="0">
    <w:nsid w:val="2F981396"/>
    <w:multiLevelType w:val="hybridMultilevel"/>
    <w:tmpl w:val="4F5E43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60F7"/>
    <w:multiLevelType w:val="hybridMultilevel"/>
    <w:tmpl w:val="EFCA9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2F51"/>
    <w:multiLevelType w:val="hybridMultilevel"/>
    <w:tmpl w:val="FDB6CB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6946"/>
    <w:multiLevelType w:val="hybridMultilevel"/>
    <w:tmpl w:val="BEFC60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EEB"/>
    <w:multiLevelType w:val="hybridMultilevel"/>
    <w:tmpl w:val="1C4628F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1956"/>
    <w:multiLevelType w:val="hybridMultilevel"/>
    <w:tmpl w:val="D8C47638"/>
    <w:lvl w:ilvl="0" w:tplc="8208FEAC">
      <w:start w:val="1"/>
      <w:numFmt w:val="lowerLetter"/>
      <w:pStyle w:val="Lista-kontynuacj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E87"/>
    <w:multiLevelType w:val="hybridMultilevel"/>
    <w:tmpl w:val="AF3E7F4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87021"/>
    <w:multiLevelType w:val="hybridMultilevel"/>
    <w:tmpl w:val="D174E6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572D9"/>
    <w:multiLevelType w:val="hybridMultilevel"/>
    <w:tmpl w:val="FDB6CB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1"/>
    <w:rsid w:val="001434D2"/>
    <w:rsid w:val="0019286E"/>
    <w:rsid w:val="002A4E86"/>
    <w:rsid w:val="00355DA5"/>
    <w:rsid w:val="004C1235"/>
    <w:rsid w:val="00582727"/>
    <w:rsid w:val="005D4D90"/>
    <w:rsid w:val="006611CC"/>
    <w:rsid w:val="00741A8B"/>
    <w:rsid w:val="007D3408"/>
    <w:rsid w:val="007E5D31"/>
    <w:rsid w:val="007F2624"/>
    <w:rsid w:val="00885A84"/>
    <w:rsid w:val="0089388B"/>
    <w:rsid w:val="008C0206"/>
    <w:rsid w:val="00906272"/>
    <w:rsid w:val="009B0E4B"/>
    <w:rsid w:val="00A012F2"/>
    <w:rsid w:val="00A406D1"/>
    <w:rsid w:val="00A606CB"/>
    <w:rsid w:val="00AB3262"/>
    <w:rsid w:val="00BB3DD1"/>
    <w:rsid w:val="00BC74A6"/>
    <w:rsid w:val="00BE6EAA"/>
    <w:rsid w:val="00CD3837"/>
    <w:rsid w:val="00DD1822"/>
    <w:rsid w:val="00DD2C45"/>
    <w:rsid w:val="00DF7888"/>
    <w:rsid w:val="00E010D8"/>
    <w:rsid w:val="00EC36F4"/>
    <w:rsid w:val="00F14B93"/>
    <w:rsid w:val="00F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614D1D0-49CB-4C5F-96FB-AAF6285B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pistreci1"/>
    <w:link w:val="Nagwek1Znak"/>
    <w:uiPriority w:val="4"/>
    <w:qFormat/>
    <w:rsid w:val="009B0E4B"/>
    <w:pPr>
      <w:keepNext/>
      <w:keepLines/>
      <w:numPr>
        <w:numId w:val="2"/>
      </w:numPr>
      <w:tabs>
        <w:tab w:val="left" w:pos="709"/>
        <w:tab w:val="right" w:leader="dot" w:pos="9854"/>
      </w:tabs>
      <w:spacing w:before="120" w:after="360" w:line="240" w:lineRule="atLeast"/>
      <w:outlineLvl w:val="0"/>
    </w:pPr>
    <w:rPr>
      <w:rFonts w:ascii="Arial" w:eastAsia="Times New Roman" w:hAnsi="Arial" w:cs="Arial"/>
      <w:b/>
      <w:noProof/>
      <w:color w:val="4472C4" w:themeColor="accent1"/>
      <w:sz w:val="4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4"/>
    <w:unhideWhenUsed/>
    <w:qFormat/>
    <w:rsid w:val="009B0E4B"/>
    <w:pPr>
      <w:keepNext/>
      <w:keepLines/>
      <w:numPr>
        <w:ilvl w:val="1"/>
        <w:numId w:val="2"/>
      </w:numPr>
      <w:spacing w:before="240" w:after="240" w:line="240" w:lineRule="atLeast"/>
      <w:outlineLvl w:val="1"/>
    </w:pPr>
    <w:rPr>
      <w:rFonts w:ascii="Arial" w:eastAsia="Times New Roman" w:hAnsi="Arial" w:cs="Arial"/>
      <w:b/>
      <w:color w:val="DC6900"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9B0E4B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Arial" w:eastAsia="Times New Roman" w:hAnsi="Arial" w:cs="Arial"/>
      <w:color w:val="DC69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9B0E4B"/>
    <w:pPr>
      <w:numPr>
        <w:ilvl w:val="3"/>
        <w:numId w:val="2"/>
      </w:numPr>
      <w:spacing w:before="160" w:line="240" w:lineRule="atLeast"/>
      <w:outlineLvl w:val="3"/>
    </w:pPr>
    <w:rPr>
      <w:rFonts w:ascii="Arial" w:eastAsia="Times New Roman" w:hAnsi="Arial" w:cs="Arial"/>
      <w:b/>
      <w:iCs/>
      <w:color w:val="DC6900"/>
      <w:sz w:val="1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0E4B"/>
    <w:pPr>
      <w:keepNext/>
      <w:keepLines/>
      <w:numPr>
        <w:ilvl w:val="4"/>
        <w:numId w:val="2"/>
      </w:numPr>
      <w:spacing w:before="40" w:after="0" w:line="240" w:lineRule="atLeast"/>
      <w:outlineLvl w:val="4"/>
    </w:pPr>
    <w:rPr>
      <w:rFonts w:ascii="Arial" w:eastAsia="Times New Roman" w:hAnsi="Arial" w:cs="Arial"/>
      <w:color w:val="A44E00"/>
      <w:sz w:val="20"/>
      <w:szCs w:val="1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B0E4B"/>
    <w:pPr>
      <w:keepNext/>
      <w:keepLines/>
      <w:numPr>
        <w:ilvl w:val="5"/>
        <w:numId w:val="2"/>
      </w:numPr>
      <w:spacing w:before="40" w:after="0" w:line="240" w:lineRule="atLeast"/>
      <w:outlineLvl w:val="5"/>
    </w:pPr>
    <w:rPr>
      <w:rFonts w:ascii="Arial" w:eastAsia="Times New Roman" w:hAnsi="Arial" w:cs="Arial"/>
      <w:color w:val="6D3300"/>
      <w:sz w:val="20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E4B"/>
    <w:pPr>
      <w:keepNext/>
      <w:keepLines/>
      <w:numPr>
        <w:ilvl w:val="6"/>
        <w:numId w:val="2"/>
      </w:numPr>
      <w:spacing w:before="40" w:after="0" w:line="240" w:lineRule="atLeast"/>
      <w:outlineLvl w:val="6"/>
    </w:pPr>
    <w:rPr>
      <w:rFonts w:ascii="Arial" w:eastAsia="Times New Roman" w:hAnsi="Arial" w:cs="Arial"/>
      <w:i/>
      <w:iCs/>
      <w:color w:val="6D3300"/>
      <w:sz w:val="20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B0E4B"/>
    <w:pPr>
      <w:keepNext/>
      <w:keepLines/>
      <w:numPr>
        <w:ilvl w:val="7"/>
        <w:numId w:val="2"/>
      </w:numPr>
      <w:spacing w:before="40" w:after="0" w:line="240" w:lineRule="atLeast"/>
      <w:outlineLvl w:val="7"/>
    </w:pPr>
    <w:rPr>
      <w:rFonts w:ascii="Arial" w:eastAsia="Times New Roman" w:hAnsi="Arial" w:cs="Arial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E4B"/>
    <w:pPr>
      <w:keepNext/>
      <w:keepLines/>
      <w:numPr>
        <w:ilvl w:val="8"/>
        <w:numId w:val="2"/>
      </w:numPr>
      <w:spacing w:before="40" w:after="0" w:line="240" w:lineRule="atLeast"/>
      <w:outlineLvl w:val="8"/>
    </w:pPr>
    <w:rPr>
      <w:rFonts w:ascii="Arial" w:eastAsia="Times New Roman" w:hAnsi="Arial" w:cs="Arial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D31"/>
  </w:style>
  <w:style w:type="paragraph" w:styleId="Stopka">
    <w:name w:val="footer"/>
    <w:basedOn w:val="Normalny"/>
    <w:link w:val="StopkaZnak"/>
    <w:uiPriority w:val="99"/>
    <w:unhideWhenUsed/>
    <w:rsid w:val="007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D31"/>
  </w:style>
  <w:style w:type="character" w:customStyle="1" w:styleId="Nagwek1Znak">
    <w:name w:val="Nagłówek 1 Znak"/>
    <w:basedOn w:val="Domylnaczcionkaakapitu"/>
    <w:link w:val="Nagwek1"/>
    <w:uiPriority w:val="4"/>
    <w:rsid w:val="009B0E4B"/>
    <w:rPr>
      <w:rFonts w:ascii="Arial" w:eastAsia="Times New Roman" w:hAnsi="Arial" w:cs="Arial"/>
      <w:b/>
      <w:noProof/>
      <w:color w:val="4472C4" w:themeColor="accent1"/>
      <w:sz w:val="4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4"/>
    <w:rsid w:val="009B0E4B"/>
    <w:rPr>
      <w:rFonts w:ascii="Arial" w:eastAsia="Times New Roman" w:hAnsi="Arial" w:cs="Arial"/>
      <w:b/>
      <w:color w:val="DC690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4"/>
    <w:rsid w:val="009B0E4B"/>
    <w:rPr>
      <w:rFonts w:ascii="Arial" w:eastAsia="Times New Roman" w:hAnsi="Arial" w:cs="Arial"/>
      <w:color w:val="DC69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5"/>
    <w:rsid w:val="009B0E4B"/>
    <w:rPr>
      <w:rFonts w:ascii="Arial" w:eastAsia="Times New Roman" w:hAnsi="Arial" w:cs="Arial"/>
      <w:b/>
      <w:iCs/>
      <w:color w:val="DC69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9B0E4B"/>
    <w:rPr>
      <w:rFonts w:ascii="Arial" w:eastAsia="Times New Roman" w:hAnsi="Arial" w:cs="Arial"/>
      <w:color w:val="A44E00"/>
      <w:sz w:val="20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B0E4B"/>
    <w:rPr>
      <w:rFonts w:ascii="Arial" w:eastAsia="Times New Roman" w:hAnsi="Arial" w:cs="Arial"/>
      <w:color w:val="6D3300"/>
      <w:sz w:val="20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E4B"/>
    <w:rPr>
      <w:rFonts w:ascii="Arial" w:eastAsia="Times New Roman" w:hAnsi="Arial" w:cs="Arial"/>
      <w:i/>
      <w:iCs/>
      <w:color w:val="6D3300"/>
      <w:sz w:val="20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B0E4B"/>
    <w:rPr>
      <w:rFonts w:ascii="Arial" w:eastAsia="Times New Roman" w:hAnsi="Arial" w:cs="Arial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E4B"/>
    <w:rPr>
      <w:rFonts w:ascii="Arial" w:eastAsia="Times New Roman" w:hAnsi="Arial" w:cs="Arial"/>
      <w:i/>
      <w:iCs/>
      <w:color w:val="272727"/>
      <w:sz w:val="21"/>
      <w:szCs w:val="21"/>
      <w:lang w:eastAsia="pl-PL"/>
    </w:rPr>
  </w:style>
  <w:style w:type="paragraph" w:styleId="Akapitzlist">
    <w:name w:val="List Paragraph"/>
    <w:aliases w:val="Numerowanie,Elenco puntato,Nag 1"/>
    <w:basedOn w:val="Normalny"/>
    <w:link w:val="AkapitzlistZnak"/>
    <w:uiPriority w:val="34"/>
    <w:qFormat/>
    <w:rsid w:val="009B0E4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styleId="Listapunktowana2">
    <w:name w:val="List Bullet 2"/>
    <w:basedOn w:val="Normalny"/>
    <w:link w:val="Listapunktowana2Znak"/>
    <w:uiPriority w:val="99"/>
    <w:unhideWhenUsed/>
    <w:rsid w:val="009B0E4B"/>
    <w:pPr>
      <w:numPr>
        <w:numId w:val="12"/>
      </w:numPr>
      <w:spacing w:before="120" w:after="120" w:line="240" w:lineRule="auto"/>
      <w:ind w:left="1276" w:hanging="425"/>
    </w:pPr>
    <w:rPr>
      <w:rFonts w:ascii="Arial" w:eastAsia="Arial" w:hAnsi="Arial" w:cs="Arial"/>
      <w:sz w:val="20"/>
      <w:szCs w:val="18"/>
      <w:lang w:eastAsia="pl-PL"/>
    </w:rPr>
  </w:style>
  <w:style w:type="character" w:styleId="Hipercze">
    <w:name w:val="Hyperlink"/>
    <w:uiPriority w:val="99"/>
    <w:unhideWhenUsed/>
    <w:rsid w:val="009B0E4B"/>
    <w:rPr>
      <w:color w:val="DC6900"/>
      <w:u w:val="single"/>
    </w:rPr>
  </w:style>
  <w:style w:type="character" w:customStyle="1" w:styleId="AkapitzlistZnak">
    <w:name w:val="Akapit z listą Znak"/>
    <w:aliases w:val="Numerowanie Znak,Elenco puntato Znak,Nag 1 Znak"/>
    <w:link w:val="Akapitzlist"/>
    <w:uiPriority w:val="34"/>
    <w:locked/>
    <w:rsid w:val="009B0E4B"/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paragraph" w:styleId="Listapunktowana">
    <w:name w:val="List Bullet"/>
    <w:basedOn w:val="Akapitzlist"/>
    <w:link w:val="ListapunktowanaZnak"/>
    <w:uiPriority w:val="99"/>
    <w:unhideWhenUsed/>
    <w:rsid w:val="009B0E4B"/>
    <w:pPr>
      <w:numPr>
        <w:numId w:val="1"/>
      </w:numPr>
      <w:spacing w:before="120" w:after="120"/>
      <w:contextualSpacing w:val="0"/>
    </w:pPr>
    <w:rPr>
      <w:rFonts w:ascii="Arial" w:hAnsi="Arial"/>
      <w:sz w:val="20"/>
      <w:szCs w:val="20"/>
    </w:rPr>
  </w:style>
  <w:style w:type="character" w:customStyle="1" w:styleId="ListapunktowanaZnak">
    <w:name w:val="Lista punktowana Znak"/>
    <w:link w:val="Listapunktowana"/>
    <w:uiPriority w:val="99"/>
    <w:rsid w:val="009B0E4B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Listapunktowana2Znak">
    <w:name w:val="Lista punktowana 2 Znak"/>
    <w:link w:val="Listapunktowana2"/>
    <w:uiPriority w:val="99"/>
    <w:rsid w:val="009B0E4B"/>
    <w:rPr>
      <w:rFonts w:ascii="Arial" w:eastAsia="Arial" w:hAnsi="Arial" w:cs="Arial"/>
      <w:sz w:val="20"/>
      <w:szCs w:val="18"/>
      <w:lang w:eastAsia="pl-PL"/>
    </w:rPr>
  </w:style>
  <w:style w:type="paragraph" w:styleId="Lista-kontynuacja">
    <w:name w:val="List Continue"/>
    <w:basedOn w:val="Normalny"/>
    <w:uiPriority w:val="99"/>
    <w:unhideWhenUsed/>
    <w:rsid w:val="009B0E4B"/>
    <w:pPr>
      <w:numPr>
        <w:numId w:val="9"/>
      </w:numPr>
      <w:spacing w:before="240" w:after="240" w:line="240" w:lineRule="atLeast"/>
    </w:pPr>
    <w:rPr>
      <w:rFonts w:ascii="Arial" w:eastAsia="Arial" w:hAnsi="Arial" w:cs="Arial"/>
      <w:b/>
      <w:sz w:val="20"/>
      <w:szCs w:val="18"/>
      <w:lang w:eastAsia="pl-PL"/>
    </w:rPr>
  </w:style>
  <w:style w:type="paragraph" w:customStyle="1" w:styleId="Normal2">
    <w:name w:val="Normal 2"/>
    <w:basedOn w:val="Normalny"/>
    <w:qFormat/>
    <w:rsid w:val="009B0E4B"/>
    <w:pPr>
      <w:spacing w:after="240" w:line="240" w:lineRule="atLeast"/>
      <w:ind w:left="567"/>
    </w:pPr>
    <w:rPr>
      <w:rFonts w:ascii="Arial" w:eastAsia="Arial" w:hAnsi="Arial" w:cs="Arial"/>
      <w:sz w:val="20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E4B"/>
    <w:pPr>
      <w:spacing w:after="0" w:line="276" w:lineRule="auto"/>
      <w:ind w:left="705" w:hanging="705"/>
      <w:jc w:val="both"/>
    </w:pPr>
    <w:rPr>
      <w:rFonts w:ascii="Arial" w:eastAsia="Arial" w:hAnsi="Arial" w:cs="Arial"/>
      <w:sz w:val="20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E4B"/>
    <w:rPr>
      <w:rFonts w:ascii="Arial" w:eastAsia="Arial" w:hAnsi="Arial" w:cs="Arial"/>
      <w:sz w:val="20"/>
      <w:szCs w:val="18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0E4B"/>
    <w:pPr>
      <w:spacing w:after="100"/>
    </w:pPr>
  </w:style>
  <w:style w:type="paragraph" w:customStyle="1" w:styleId="WW-Tekstpodstawowy2">
    <w:name w:val="WW-Tekst podstawowy 2"/>
    <w:basedOn w:val="Normalny"/>
    <w:rsid w:val="009062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3442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bazgrOla</dc:creator>
  <cp:keywords/>
  <dc:description/>
  <cp:lastModifiedBy>Ewelina Głowacka</cp:lastModifiedBy>
  <cp:revision>15</cp:revision>
  <dcterms:created xsi:type="dcterms:W3CDTF">2024-07-26T08:09:00Z</dcterms:created>
  <dcterms:modified xsi:type="dcterms:W3CDTF">2024-07-31T06:24:00Z</dcterms:modified>
</cp:coreProperties>
</file>