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7654" w14:textId="76F2AEAC" w:rsidR="00C2552F" w:rsidRPr="007E2AE9" w:rsidRDefault="00C2552F" w:rsidP="00C2552F">
      <w:pPr>
        <w:spacing w:after="0" w:line="240" w:lineRule="auto"/>
        <w:rPr>
          <w:rFonts w:asciiTheme="minorHAnsi" w:hAnsiTheme="minorHAnsi" w:cstheme="minorHAnsi"/>
          <w:b/>
          <w:iCs/>
        </w:rPr>
      </w:pPr>
      <w:r w:rsidRPr="007E2AE9">
        <w:rPr>
          <w:rFonts w:asciiTheme="minorHAnsi" w:hAnsiTheme="minorHAnsi" w:cstheme="minorHAnsi"/>
          <w:b/>
          <w:iCs/>
        </w:rPr>
        <w:t>KPT-DZI.270.1.2022</w:t>
      </w:r>
    </w:p>
    <w:p w14:paraId="29F367FB" w14:textId="3A541D89" w:rsidR="00C2552F" w:rsidRPr="007E2AE9" w:rsidRDefault="00C2552F" w:rsidP="00C2552F">
      <w:pPr>
        <w:spacing w:after="0" w:line="240" w:lineRule="auto"/>
        <w:jc w:val="right"/>
        <w:rPr>
          <w:rFonts w:asciiTheme="minorHAnsi" w:hAnsiTheme="minorHAnsi" w:cstheme="minorHAnsi"/>
          <w:b/>
          <w:iCs/>
        </w:rPr>
      </w:pPr>
      <w:r w:rsidRPr="007E2AE9">
        <w:rPr>
          <w:rFonts w:asciiTheme="minorHAnsi" w:hAnsiTheme="minorHAnsi" w:cstheme="minorHAnsi"/>
          <w:b/>
          <w:iCs/>
        </w:rPr>
        <w:t>Kielce,</w:t>
      </w:r>
      <w:r w:rsidR="007E2AE9" w:rsidRPr="007E2AE9">
        <w:rPr>
          <w:rFonts w:asciiTheme="minorHAnsi" w:hAnsiTheme="minorHAnsi" w:cstheme="minorHAnsi"/>
          <w:b/>
          <w:iCs/>
        </w:rPr>
        <w:t>0</w:t>
      </w:r>
      <w:r w:rsidR="00734542">
        <w:rPr>
          <w:rFonts w:asciiTheme="minorHAnsi" w:hAnsiTheme="minorHAnsi" w:cstheme="minorHAnsi"/>
          <w:b/>
          <w:iCs/>
        </w:rPr>
        <w:t>8</w:t>
      </w:r>
      <w:r w:rsidRPr="007E2AE9">
        <w:rPr>
          <w:rFonts w:asciiTheme="minorHAnsi" w:hAnsiTheme="minorHAnsi" w:cstheme="minorHAnsi"/>
          <w:b/>
          <w:iCs/>
        </w:rPr>
        <w:t>.</w:t>
      </w:r>
      <w:r w:rsidR="007E2AE9" w:rsidRPr="007E2AE9">
        <w:rPr>
          <w:rFonts w:asciiTheme="minorHAnsi" w:hAnsiTheme="minorHAnsi" w:cstheme="minorHAnsi"/>
          <w:b/>
          <w:iCs/>
        </w:rPr>
        <w:t>03</w:t>
      </w:r>
      <w:r w:rsidRPr="007E2AE9">
        <w:rPr>
          <w:rFonts w:asciiTheme="minorHAnsi" w:hAnsiTheme="minorHAnsi" w:cstheme="minorHAnsi"/>
          <w:b/>
          <w:iCs/>
        </w:rPr>
        <w:t>.202</w:t>
      </w:r>
      <w:r w:rsidR="007E2AE9" w:rsidRPr="007E2AE9">
        <w:rPr>
          <w:rFonts w:asciiTheme="minorHAnsi" w:hAnsiTheme="minorHAnsi" w:cstheme="minorHAnsi"/>
          <w:b/>
          <w:iCs/>
        </w:rPr>
        <w:t>2</w:t>
      </w:r>
      <w:r w:rsidRPr="007E2AE9">
        <w:rPr>
          <w:rFonts w:asciiTheme="minorHAnsi" w:hAnsiTheme="minorHAnsi" w:cstheme="minorHAnsi"/>
          <w:b/>
          <w:iCs/>
        </w:rPr>
        <w:t xml:space="preserve"> r. </w:t>
      </w:r>
    </w:p>
    <w:p w14:paraId="79E8DE7F" w14:textId="77777777" w:rsidR="00C2552F" w:rsidRPr="007E2AE9" w:rsidRDefault="00C2552F" w:rsidP="00C2552F">
      <w:pPr>
        <w:spacing w:after="0" w:line="240" w:lineRule="auto"/>
        <w:jc w:val="center"/>
        <w:rPr>
          <w:rFonts w:asciiTheme="minorHAnsi" w:hAnsiTheme="minorHAnsi" w:cstheme="minorHAnsi"/>
          <w:b/>
          <w:iCs/>
        </w:rPr>
      </w:pPr>
    </w:p>
    <w:p w14:paraId="75ACB7ED" w14:textId="77777777" w:rsidR="00C2552F" w:rsidRPr="007E2AE9" w:rsidRDefault="00C2552F" w:rsidP="00C2552F">
      <w:pPr>
        <w:pStyle w:val="Nagwek1"/>
        <w:rPr>
          <w:rFonts w:eastAsia="Calibri"/>
          <w:sz w:val="22"/>
          <w:szCs w:val="22"/>
        </w:rPr>
      </w:pPr>
      <w:r w:rsidRPr="007E2AE9">
        <w:rPr>
          <w:rFonts w:eastAsia="Calibri"/>
          <w:sz w:val="22"/>
          <w:szCs w:val="22"/>
        </w:rPr>
        <w:t>INFORMACJA</w:t>
      </w:r>
    </w:p>
    <w:p w14:paraId="7E1900CC" w14:textId="77777777" w:rsidR="00C2552F" w:rsidRPr="007E2AE9" w:rsidRDefault="00C2552F" w:rsidP="00C2552F">
      <w:pPr>
        <w:spacing w:after="0" w:line="240" w:lineRule="auto"/>
        <w:jc w:val="center"/>
        <w:rPr>
          <w:rFonts w:asciiTheme="minorHAnsi" w:hAnsiTheme="minorHAnsi" w:cstheme="minorHAnsi"/>
          <w:b/>
          <w:iCs/>
        </w:rPr>
      </w:pPr>
      <w:r w:rsidRPr="007E2AE9">
        <w:rPr>
          <w:rFonts w:asciiTheme="minorHAnsi" w:hAnsiTheme="minorHAnsi" w:cstheme="minorHAnsi"/>
          <w:b/>
          <w:iCs/>
        </w:rPr>
        <w:t>dla Wykonawców nr 1</w:t>
      </w:r>
    </w:p>
    <w:p w14:paraId="20407C23" w14:textId="77777777" w:rsidR="00C2552F" w:rsidRPr="007E2AE9" w:rsidRDefault="00C2552F" w:rsidP="00C2552F">
      <w:pPr>
        <w:spacing w:after="0" w:line="240" w:lineRule="auto"/>
        <w:jc w:val="center"/>
        <w:rPr>
          <w:rFonts w:asciiTheme="minorHAnsi" w:hAnsiTheme="minorHAnsi" w:cstheme="minorHAnsi"/>
          <w:b/>
          <w:iCs/>
        </w:rPr>
      </w:pPr>
    </w:p>
    <w:p w14:paraId="64E6FF16" w14:textId="1DF67B9B" w:rsidR="00C2552F" w:rsidRPr="007E2AE9" w:rsidRDefault="00C2552F" w:rsidP="00C2552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7E2AE9">
        <w:rPr>
          <w:rFonts w:asciiTheme="minorHAnsi" w:hAnsiTheme="minorHAnsi" w:cstheme="minorHAnsi"/>
          <w:b/>
          <w:u w:val="single"/>
        </w:rPr>
        <w:t>Dotyczy postępowania o udzielenie zamówienia publicznego prowadzonego w trybie podstawowym bez negocjacji o wartości zamówienia nie przekraczającej progów unijnych na :</w:t>
      </w:r>
    </w:p>
    <w:p w14:paraId="33E31F7C" w14:textId="5F49CE4C" w:rsidR="007E2AE9" w:rsidRPr="007E2AE9" w:rsidRDefault="007E2AE9" w:rsidP="00C2552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7E2AE9">
        <w:rPr>
          <w:rFonts w:asciiTheme="minorHAnsi" w:hAnsiTheme="minorHAnsi" w:cstheme="minorHAnsi"/>
          <w:b/>
          <w:u w:val="single"/>
        </w:rPr>
        <w:t>„Usługę sprzątania biur, pomieszczeń i utrzymania czystości na obiektach Kieleckiego Parku Technologicznego”.</w:t>
      </w:r>
    </w:p>
    <w:p w14:paraId="0CD4EDED" w14:textId="77777777" w:rsidR="00C2552F" w:rsidRPr="007E2AE9" w:rsidRDefault="00C2552F" w:rsidP="00C2552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B3D3CFE" w14:textId="77777777" w:rsidR="00C2552F" w:rsidRPr="007E2AE9" w:rsidRDefault="00C2552F" w:rsidP="00C2552F">
      <w:pPr>
        <w:jc w:val="both"/>
        <w:rPr>
          <w:rFonts w:asciiTheme="minorHAnsi" w:eastAsiaTheme="minorHAnsi" w:hAnsiTheme="minorHAnsi" w:cstheme="minorHAnsi"/>
        </w:rPr>
      </w:pPr>
    </w:p>
    <w:p w14:paraId="3759A421" w14:textId="45C4F174" w:rsidR="00C2552F" w:rsidRPr="007E2AE9" w:rsidRDefault="00C2552F" w:rsidP="00C26577">
      <w:pPr>
        <w:pStyle w:val="Tekstpodstawowywcity"/>
        <w:jc w:val="center"/>
      </w:pPr>
      <w:r w:rsidRPr="007E2AE9">
        <w:t>Zamawiający działając na podstawie art. 284 ust. 2 ustawy z dnia 11 września 2019 r. Prawo zamówień publicznych (Dz. U. z 2021 r. poz. 1129) udziela odpowiedzi na zadane pytania:</w:t>
      </w:r>
    </w:p>
    <w:p w14:paraId="04FA6740" w14:textId="77777777" w:rsidR="00C2552F" w:rsidRPr="007E2AE9" w:rsidRDefault="00C2552F" w:rsidP="00C2552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E2AE9">
        <w:rPr>
          <w:rFonts w:asciiTheme="minorHAnsi" w:hAnsiTheme="minorHAnsi" w:cstheme="minorHAnsi"/>
        </w:rPr>
        <w:tab/>
      </w:r>
    </w:p>
    <w:p w14:paraId="1557ACE3" w14:textId="73227F59" w:rsidR="00C2552F" w:rsidRPr="007E2AE9" w:rsidRDefault="00C2552F" w:rsidP="007E2AE9">
      <w:pPr>
        <w:spacing w:after="0"/>
        <w:jc w:val="both"/>
        <w:rPr>
          <w:rFonts w:asciiTheme="minorHAnsi" w:eastAsiaTheme="minorHAnsi" w:hAnsiTheme="minorHAnsi" w:cstheme="minorHAnsi"/>
          <w:b/>
          <w:bCs/>
          <w:u w:val="single"/>
        </w:rPr>
      </w:pPr>
      <w:r w:rsidRPr="007E2AE9">
        <w:rPr>
          <w:rFonts w:asciiTheme="minorHAnsi" w:hAnsiTheme="minorHAnsi" w:cstheme="minorHAnsi"/>
          <w:b/>
          <w:bCs/>
          <w:u w:val="single"/>
        </w:rPr>
        <w:t>Pytanie 1:</w:t>
      </w:r>
    </w:p>
    <w:p w14:paraId="30897FBA" w14:textId="4C4AE757" w:rsidR="00CA3DAE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 xml:space="preserve">Mając na uwadze treść wzoru umowy wnoszę o zmianę o 50% wysokości kar umownych zastrzeżonych </w:t>
      </w:r>
      <w:r w:rsidR="00C26577">
        <w:rPr>
          <w:rFonts w:asciiTheme="minorHAnsi" w:eastAsia="Times New Roman" w:hAnsiTheme="minorHAnsi" w:cstheme="minorHAnsi"/>
          <w:lang w:eastAsia="pl-PL"/>
        </w:rPr>
        <w:br/>
      </w:r>
      <w:r w:rsidRPr="007E2AE9">
        <w:rPr>
          <w:rFonts w:asciiTheme="minorHAnsi" w:eastAsia="Times New Roman" w:hAnsiTheme="minorHAnsi" w:cstheme="minorHAnsi"/>
          <w:lang w:eastAsia="pl-PL"/>
        </w:rPr>
        <w:t>w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powyższych przepisach. W doktrynie prawa zamówień publicznych oraz w aktualnym orzecznictwie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Krajowej Izby Odwoławczej przy Prezesie Urzędu Zamówień Publicznych dominuje pogląd, że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ustanawianie przez zamawiającego w umowie rażąco wysokich kar umownych uznać należy bezwzględnie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za naruszenie zasad zachowania uczciwej konkurencji wyrażonej w art. 16 ustawy PZP z dnia 11.09.2019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roku (Dz. U. z 2021 r., poz. 1129.), które może być uzasadnioną podstawą do żądania unieważnienia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postępowania o udzielenie zamówienia publicznego w trybie art. 255 ust. 6 ustawy prawo zamówień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publicznych z uwagi, iż postępowanie jest obarczone wadą uniemożliwiającą zawarcie ważnej umowy w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sprawie zamówienia publicznego. Stanowisko powyższe znajduje pełne potwierdzenie m.in. wyroku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Krajowej Izby Odwoławczej z dnia 31 lipca 2015 r. sygn. akt: KIO/1519/15. Zważyć bowiem należy, że kara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umowna (odszkodowanie umowne) ze swojej istoty ma charakter wyłącznie odszkodowawczy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i kompensacyjny, a nie zaś prewencyjny. Ustalenie przez Zamawiającego zbyt wygórowanych kar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umownych dla wykonawców stanowi zatem bezspornie rażące naruszenie prawa </w:t>
      </w:r>
      <w:r w:rsidR="00247423">
        <w:rPr>
          <w:rFonts w:asciiTheme="minorHAnsi" w:eastAsia="Times New Roman" w:hAnsiTheme="minorHAnsi" w:cstheme="minorHAnsi"/>
          <w:lang w:eastAsia="pl-PL"/>
        </w:rPr>
        <w:br/>
      </w:r>
      <w:r w:rsidRPr="007E2AE9">
        <w:rPr>
          <w:rFonts w:asciiTheme="minorHAnsi" w:eastAsia="Times New Roman" w:hAnsiTheme="minorHAnsi" w:cstheme="minorHAnsi"/>
          <w:lang w:eastAsia="pl-PL"/>
        </w:rPr>
        <w:t>w zakresie równości stron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umowy, co w konsekwencji prowadzi do sprzeczności celu takiej umowy z zasadami współżycia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społecznego i skutkować winno bezwzględną nieważność czynności prawnej na podstawie przepisu art. 3531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k.c. w związku z art. 58 § 1 k.c. Należy mieć również na względzie stanowisko Sądu Najwyższego wyrażone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 wyroku z 29 listopada 2013 roku Sygn. akt I CSK 124/13, dotyczącego przesłanek miarkowania kar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umownych jako rażąco wygórowanych. W uzasadnieniu wyroku Sąd wskazał, iż „kara umowna nie może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być instrumentem służącym wzbogaceniu wierzyciela, a zatem przyznającym mu korzyść majątkową w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istotny sposób przekraczającą wysokość poniesionej przez wierzyciela szkody. Celem miarkowania kary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umownej jest natomiast ochrona równowagi interesów stron i zapobieżenie nadmiernemu obciążeniu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dłużnika oraz niesłusznemu wzbogaceniu wierzyciela”.</w:t>
      </w:r>
    </w:p>
    <w:p w14:paraId="54CCE20B" w14:textId="77777777" w:rsidR="007E2AE9" w:rsidRPr="007E2AE9" w:rsidRDefault="007E2AE9" w:rsidP="007E2AE9">
      <w:pPr>
        <w:spacing w:after="0" w:line="254" w:lineRule="auto"/>
        <w:jc w:val="both"/>
        <w:rPr>
          <w:rFonts w:asciiTheme="minorHAnsi" w:hAnsiTheme="minorHAnsi" w:cstheme="minorHAnsi"/>
          <w:b/>
        </w:rPr>
      </w:pPr>
      <w:r w:rsidRPr="007E2AE9">
        <w:rPr>
          <w:rFonts w:asciiTheme="minorHAnsi" w:hAnsiTheme="minorHAnsi" w:cstheme="minorHAnsi"/>
          <w:b/>
        </w:rPr>
        <w:t>Odpowiedź:</w:t>
      </w:r>
    </w:p>
    <w:p w14:paraId="6A6BA49C" w14:textId="77FA8394" w:rsidR="00526BD8" w:rsidRPr="007E2AE9" w:rsidRDefault="004415F5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>
        <w:t xml:space="preserve">Zamawiający nie widzi potrzeby zmiany wysokości przewidzianych we wzorze umowy wysokości kar umownych. Według oceny </w:t>
      </w:r>
      <w:r w:rsidR="00383494">
        <w:t>z</w:t>
      </w:r>
      <w:r>
        <w:t xml:space="preserve">amawiającego są one umiarkowane, a tam gdzie ich wysokość jest zwiększona dotyczą </w:t>
      </w:r>
      <w:r>
        <w:lastRenderedPageBreak/>
        <w:t>szczególnie ważnych dla Zamawiającego rodzajów czynności,</w:t>
      </w:r>
      <w:r w:rsidR="002733DE">
        <w:t xml:space="preserve"> </w:t>
      </w:r>
      <w:r>
        <w:t xml:space="preserve">np. odśnieżanie. Ponadto, całkowita wysokość kar umownych została ograniczona do wysokości </w:t>
      </w:r>
      <w:r w:rsidRPr="002733DE">
        <w:t>10%</w:t>
      </w:r>
      <w:r>
        <w:t xml:space="preserve"> wynagrodzenia wykonawcy</w:t>
      </w:r>
      <w:r w:rsidR="002733DE">
        <w:t>.</w:t>
      </w:r>
    </w:p>
    <w:p w14:paraId="44C0588F" w14:textId="221241F7" w:rsidR="007E2AE9" w:rsidRPr="007E2AE9" w:rsidRDefault="007E2AE9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27FAEF4D" w14:textId="75F3B8AE" w:rsidR="007E2AE9" w:rsidRPr="007E2AE9" w:rsidRDefault="007E2AE9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7E2AE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Pytanie 2</w:t>
      </w:r>
    </w:p>
    <w:p w14:paraId="33C6B918" w14:textId="56468ABE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Proszę o potwierdzenie, że Zamawiający dopuszcza - w przypadku wykonawców wspólnie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realizujących usługę </w:t>
      </w:r>
      <w:r w:rsidR="00B277AC">
        <w:rPr>
          <w:rFonts w:asciiTheme="minorHAnsi" w:eastAsia="Times New Roman" w:hAnsiTheme="minorHAnsi" w:cstheme="minorHAnsi"/>
          <w:lang w:eastAsia="pl-PL"/>
        </w:rPr>
        <w:t>k</w:t>
      </w:r>
      <w:r w:rsidRPr="007E2AE9">
        <w:rPr>
          <w:rFonts w:asciiTheme="minorHAnsi" w:eastAsia="Times New Roman" w:hAnsiTheme="minorHAnsi" w:cstheme="minorHAnsi"/>
          <w:lang w:eastAsia="pl-PL"/>
        </w:rPr>
        <w:t>onsorcjum) - aby każdy członek konsorcjum mógł wystawić odrębną fakturę za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wykonanie swojej części przedmiotu umowy, zgodnie z określonym w umowie konsorcjum podziałem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czynności.</w:t>
      </w:r>
    </w:p>
    <w:p w14:paraId="431559A8" w14:textId="77777777" w:rsidR="00A474B4" w:rsidRPr="007E2AE9" w:rsidRDefault="00A474B4" w:rsidP="00A474B4">
      <w:pPr>
        <w:spacing w:after="0" w:line="254" w:lineRule="auto"/>
        <w:jc w:val="both"/>
        <w:rPr>
          <w:rFonts w:asciiTheme="minorHAnsi" w:hAnsiTheme="minorHAnsi" w:cstheme="minorHAnsi"/>
          <w:b/>
        </w:rPr>
      </w:pPr>
      <w:r w:rsidRPr="007E2AE9">
        <w:rPr>
          <w:rFonts w:asciiTheme="minorHAnsi" w:hAnsiTheme="minorHAnsi" w:cstheme="minorHAnsi"/>
          <w:b/>
        </w:rPr>
        <w:t>Odpowiedź:</w:t>
      </w:r>
    </w:p>
    <w:p w14:paraId="45294AFC" w14:textId="7CA299B1" w:rsidR="00C2552F" w:rsidRPr="00E51E59" w:rsidRDefault="00602CA7" w:rsidP="007E2AE9">
      <w:pPr>
        <w:jc w:val="both"/>
        <w:rPr>
          <w:color w:val="FF0000"/>
        </w:rPr>
      </w:pPr>
      <w:r w:rsidRPr="002733DE">
        <w:t xml:space="preserve">Zamawiający wyraża zgodę by członkowie konsorcjum wystawiali osobne faktury </w:t>
      </w:r>
      <w:r w:rsidR="00E51E59" w:rsidRPr="002733DE">
        <w:t>za</w:t>
      </w:r>
      <w:r w:rsidRPr="002733DE">
        <w:t xml:space="preserve"> wykonan</w:t>
      </w:r>
      <w:r w:rsidR="00E51E59" w:rsidRPr="002733DE">
        <w:t>e</w:t>
      </w:r>
      <w:r w:rsidRPr="002733DE">
        <w:t xml:space="preserve"> przez nich części wspólnie realizowanego zadania, wyłącznie w przypadku, gdy faktury jednostkowe obejmowały będą zadania faktycznie przez nich wykonane, a suma kwot w nich uwidoczniona nie będzie przekraczała wskazanej w Umowie wysokości wynagrodzenia za realizację zadania przewidzianego Umową</w:t>
      </w:r>
      <w:r w:rsidR="00E51E59" w:rsidRPr="002733DE">
        <w:t xml:space="preserve"> oraz </w:t>
      </w:r>
      <w:r w:rsidR="00E51E59">
        <w:t>pod warunkiem, że przedłożą Zamawiającemu zgodne oświadczenie, w którym wskażą jaka część należnego wynagrodzenia za wykonaną usługę będzie fakturowana przez każdego z nich.</w:t>
      </w:r>
    </w:p>
    <w:p w14:paraId="3581C59E" w14:textId="77777777" w:rsidR="00F91D08" w:rsidRDefault="00F91D08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0FA9C638" w14:textId="6DE64213" w:rsidR="007E2AE9" w:rsidRPr="007E2AE9" w:rsidRDefault="007E2AE9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7E2AE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Pytanie 3</w:t>
      </w:r>
    </w:p>
    <w:p w14:paraId="5247E763" w14:textId="55B53198" w:rsidR="00C2552F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Uprzejmie proszę o informację, czy Zamawiający akceptuje wystawienie przez wykonawcę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ustrukturyzowanych faktur korygujących oraz innych ustrukturyzowanych dokumentów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elektronicznych, dotyczących wykonania umowy o przedmiotowe zamówienie publiczne oraz przesłanie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tychże dokumentów za pośrednictwem Platformy Elektronicznego Fakturowania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https://www.brokerinfinite.efaktura.gov.pl/ ?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Podkreślam przy tym, że pytanie nie dotyczy zgody na wystawianie ustrukturyzowanych faktur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elektronicznych, gdyż takowe Zamawiający jest zobowiązany odbierać od wykonawcy na podstawie art. 4.1 ustawy z dnia 9 listopada 2018 r. o elektronicznym fakturowaniu w zamówieniach publicznych…. (</w:t>
      </w:r>
      <w:proofErr w:type="spellStart"/>
      <w:r w:rsidRPr="007E2AE9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7E2AE9">
        <w:rPr>
          <w:rFonts w:asciiTheme="minorHAnsi" w:eastAsia="Times New Roman" w:hAnsiTheme="minorHAnsi" w:cstheme="minorHAnsi"/>
          <w:lang w:eastAsia="pl-PL"/>
        </w:rPr>
        <w:t>. Dz.U.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z 2020 r. poz. 1666), lecz zgody na wystawianie ustrukturyzowanych faktur korygujących oraz innych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ustrukturyzowanych dokumentów elektronicznych.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Fakturowanie oraz wystawienie innych dokumentów w ustrukturyzowanej formie elektronicznej jest zgodne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z przepisami podatkowymi, wynikającymi z ustawy o podatku od towarów i usług (VAT) oraz jest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powszechnie stosowane pomiędzy Zamawiającymi a wykonawcami. Taki sposób przekazywania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dokumentów ułatwia wzajemną komunikację oraz eliminuje szereg błędów, występujących w procesie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tradycyjnego fakturowania. Jest on też rekomendowany, jako docelowy sposób obiegu dokumentów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księgowych przez Ministerstwo Rozwoju, Pracy i Technologii (https://www.gov.pl/web/rozwoj-pracatechnologia/e-fakturowanie-w-zamowieniach-publicznych). Ponadto, w dobie epidemii COVID-19, taki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sposób przekazywania dokumentów rozliczeniowych jest jedną ze skutecznych metod w powstrzymywaniu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rozprzestrzenianiu się wirusa oraz gwarantuje utrzymanie ciągłości procesów księgowych i podatkowych.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Jednocześnie proszę o podanie konta Zamawiającego znajdującego się na Platformie Elektronicznego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Fakturowania, umożliwiającego przesłanie ustrukturyzowanych dokumentów</w:t>
      </w:r>
      <w:r w:rsidR="00C2552F" w:rsidRPr="007E2AE9">
        <w:rPr>
          <w:rFonts w:asciiTheme="minorHAnsi" w:eastAsia="Times New Roman" w:hAnsiTheme="minorHAnsi" w:cstheme="minorHAnsi"/>
          <w:lang w:eastAsia="pl-PL"/>
        </w:rPr>
        <w:t>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251D4FF5" w14:textId="77777777" w:rsidR="00A474B4" w:rsidRPr="007E2AE9" w:rsidRDefault="00A474B4" w:rsidP="00A474B4">
      <w:pPr>
        <w:spacing w:after="0" w:line="254" w:lineRule="auto"/>
        <w:jc w:val="both"/>
        <w:rPr>
          <w:rFonts w:asciiTheme="minorHAnsi" w:hAnsiTheme="minorHAnsi" w:cstheme="minorHAnsi"/>
          <w:b/>
        </w:rPr>
      </w:pPr>
      <w:r w:rsidRPr="007E2AE9">
        <w:rPr>
          <w:rFonts w:asciiTheme="minorHAnsi" w:hAnsiTheme="minorHAnsi" w:cstheme="minorHAnsi"/>
          <w:b/>
        </w:rPr>
        <w:t>Odpowiedź:</w:t>
      </w:r>
    </w:p>
    <w:p w14:paraId="1B500A32" w14:textId="2B1E0ABD" w:rsidR="00C2552F" w:rsidRDefault="00526BB0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Zamawiający nie wyraża zgody na </w:t>
      </w:r>
      <w:r w:rsidRPr="007E2AE9">
        <w:rPr>
          <w:rFonts w:asciiTheme="minorHAnsi" w:eastAsia="Times New Roman" w:hAnsiTheme="minorHAnsi" w:cstheme="minorHAnsi"/>
          <w:lang w:eastAsia="pl-PL"/>
        </w:rPr>
        <w:t>wystawianie ustrukturyzowanych faktur korygujących oraz innych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ustrukturyzowanych dokumentów elektronicznych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36CD005E" w14:textId="3A8EB8B2" w:rsidR="007E2AE9" w:rsidRPr="007E2AE9" w:rsidRDefault="007E2AE9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7E2AE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lastRenderedPageBreak/>
        <w:t>Pytanie 4</w:t>
      </w:r>
    </w:p>
    <w:p w14:paraId="14B4F6CB" w14:textId="5F6591FC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Czy Zamawiający przyjmie na siebie obowiązek zabezpieczenia odpadów powstałych w trakcie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wykonywania usługi?</w:t>
      </w:r>
    </w:p>
    <w:p w14:paraId="7091403E" w14:textId="25D9EE72" w:rsidR="00A474B4" w:rsidRDefault="00A474B4" w:rsidP="00A474B4">
      <w:pPr>
        <w:spacing w:after="0" w:line="254" w:lineRule="auto"/>
        <w:jc w:val="both"/>
        <w:rPr>
          <w:rFonts w:asciiTheme="minorHAnsi" w:hAnsiTheme="minorHAnsi" w:cstheme="minorHAnsi"/>
          <w:b/>
        </w:rPr>
      </w:pPr>
      <w:r w:rsidRPr="007E2AE9">
        <w:rPr>
          <w:rFonts w:asciiTheme="minorHAnsi" w:hAnsiTheme="minorHAnsi" w:cstheme="minorHAnsi"/>
          <w:b/>
        </w:rPr>
        <w:t>Odpowiedź:</w:t>
      </w:r>
    </w:p>
    <w:p w14:paraId="349D5D16" w14:textId="36F37CEF" w:rsidR="00DB59B7" w:rsidRDefault="00DB59B7" w:rsidP="00A474B4">
      <w:pPr>
        <w:spacing w:after="0" w:line="254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="007074F7">
        <w:rPr>
          <w:rFonts w:asciiTheme="minorHAnsi" w:eastAsia="Times New Roman" w:hAnsiTheme="minorHAnsi" w:cstheme="minorHAnsi"/>
          <w:lang w:eastAsia="pl-PL"/>
        </w:rPr>
        <w:t xml:space="preserve">umożliwi wykonawcy </w:t>
      </w:r>
      <w:r w:rsidRPr="007E2AE9">
        <w:rPr>
          <w:rFonts w:asciiTheme="minorHAnsi" w:eastAsia="Times New Roman" w:hAnsiTheme="minorHAnsi" w:cstheme="minorHAnsi"/>
          <w:lang w:eastAsia="pl-PL"/>
        </w:rPr>
        <w:t>zabezpieczeni</w:t>
      </w:r>
      <w:r w:rsidR="007074F7">
        <w:rPr>
          <w:rFonts w:asciiTheme="minorHAnsi" w:eastAsia="Times New Roman" w:hAnsiTheme="minorHAnsi" w:cstheme="minorHAnsi"/>
          <w:lang w:eastAsia="pl-PL"/>
        </w:rPr>
        <w:t>e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 odpadów powstałych w trakcie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wykonywania usługi</w:t>
      </w:r>
      <w:r w:rsidR="007074F7">
        <w:rPr>
          <w:rFonts w:asciiTheme="minorHAnsi" w:eastAsia="Times New Roman" w:hAnsiTheme="minorHAnsi" w:cstheme="minorHAnsi"/>
          <w:lang w:eastAsia="pl-PL"/>
        </w:rPr>
        <w:t>,</w:t>
      </w:r>
      <w:r w:rsidR="007074F7">
        <w:rPr>
          <w:rFonts w:asciiTheme="minorHAnsi" w:eastAsia="Times New Roman" w:hAnsiTheme="minorHAnsi" w:cstheme="minorHAnsi"/>
          <w:lang w:eastAsia="pl-PL"/>
        </w:rPr>
        <w:br/>
      </w:r>
      <w:r>
        <w:rPr>
          <w:rFonts w:asciiTheme="minorHAnsi" w:eastAsia="Times New Roman" w:hAnsiTheme="minorHAnsi" w:cstheme="minorHAnsi"/>
          <w:lang w:eastAsia="pl-PL"/>
        </w:rPr>
        <w:t>w zakresie</w:t>
      </w:r>
      <w:r w:rsidR="007074F7">
        <w:rPr>
          <w:rFonts w:asciiTheme="minorHAnsi" w:eastAsia="Times New Roman" w:hAnsiTheme="minorHAnsi" w:cstheme="minorHAnsi"/>
          <w:lang w:eastAsia="pl-PL"/>
        </w:rPr>
        <w:t xml:space="preserve"> odpowiadającym </w:t>
      </w:r>
      <w:r w:rsidR="005C57C5">
        <w:rPr>
          <w:rFonts w:asciiTheme="minorHAnsi" w:eastAsia="Times New Roman" w:hAnsiTheme="minorHAnsi" w:cstheme="minorHAnsi"/>
          <w:lang w:eastAsia="pl-PL"/>
        </w:rPr>
        <w:t>selektywnej zbió</w:t>
      </w:r>
      <w:r w:rsidR="008B4B29">
        <w:rPr>
          <w:rFonts w:asciiTheme="minorHAnsi" w:eastAsia="Times New Roman" w:hAnsiTheme="minorHAnsi" w:cstheme="minorHAnsi"/>
          <w:lang w:eastAsia="pl-PL"/>
        </w:rPr>
        <w:t>rce</w:t>
      </w:r>
      <w:r w:rsidR="005C57C5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odpad</w:t>
      </w:r>
      <w:r w:rsidR="005C57C5">
        <w:rPr>
          <w:rFonts w:asciiTheme="minorHAnsi" w:eastAsia="Times New Roman" w:hAnsiTheme="minorHAnsi" w:cstheme="minorHAnsi"/>
          <w:lang w:eastAsia="pl-PL"/>
        </w:rPr>
        <w:t>ów</w:t>
      </w:r>
      <w:r>
        <w:rPr>
          <w:rFonts w:asciiTheme="minorHAnsi" w:eastAsia="Times New Roman" w:hAnsiTheme="minorHAnsi" w:cstheme="minorHAnsi"/>
          <w:lang w:eastAsia="pl-PL"/>
        </w:rPr>
        <w:t xml:space="preserve"> komunaln</w:t>
      </w:r>
      <w:r w:rsidR="005C57C5">
        <w:rPr>
          <w:rFonts w:asciiTheme="minorHAnsi" w:eastAsia="Times New Roman" w:hAnsiTheme="minorHAnsi" w:cstheme="minorHAnsi"/>
          <w:lang w:eastAsia="pl-PL"/>
        </w:rPr>
        <w:t>ych</w:t>
      </w:r>
      <w:r w:rsidRPr="002733DE">
        <w:rPr>
          <w:rFonts w:asciiTheme="minorHAnsi" w:eastAsia="Times New Roman" w:hAnsiTheme="minorHAnsi" w:cstheme="minorHAnsi"/>
          <w:lang w:eastAsia="pl-PL"/>
        </w:rPr>
        <w:t>.</w:t>
      </w:r>
      <w:r w:rsidR="008B4B29" w:rsidRPr="002733D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C15CE" w:rsidRPr="002733DE">
        <w:rPr>
          <w:rFonts w:asciiTheme="minorHAnsi" w:eastAsia="Times New Roman" w:hAnsiTheme="minorHAnsi" w:cstheme="minorHAnsi"/>
          <w:lang w:eastAsia="pl-PL"/>
        </w:rPr>
        <w:t xml:space="preserve">Pozostałe odpady, w tym </w:t>
      </w:r>
      <w:r w:rsidR="008C15CE">
        <w:rPr>
          <w:rFonts w:asciiTheme="minorHAnsi" w:eastAsia="Times New Roman" w:hAnsiTheme="minorHAnsi" w:cstheme="minorHAnsi"/>
          <w:lang w:eastAsia="pl-PL"/>
        </w:rPr>
        <w:t>p</w:t>
      </w:r>
      <w:r w:rsidR="008B4B29">
        <w:rPr>
          <w:rFonts w:asciiTheme="minorHAnsi" w:eastAsia="Times New Roman" w:hAnsiTheme="minorHAnsi" w:cstheme="minorHAnsi"/>
          <w:lang w:eastAsia="pl-PL"/>
        </w:rPr>
        <w:t xml:space="preserve">owstałe odpady niebezpieczne do utylizacji </w:t>
      </w:r>
      <w:r w:rsidR="009C24BB">
        <w:rPr>
          <w:rFonts w:asciiTheme="minorHAnsi" w:eastAsia="Times New Roman" w:hAnsiTheme="minorHAnsi" w:cstheme="minorHAnsi"/>
          <w:lang w:eastAsia="pl-PL"/>
        </w:rPr>
        <w:t xml:space="preserve">przez wykonawcę </w:t>
      </w:r>
      <w:r w:rsidR="008B4B29">
        <w:rPr>
          <w:rFonts w:asciiTheme="minorHAnsi" w:eastAsia="Times New Roman" w:hAnsiTheme="minorHAnsi" w:cstheme="minorHAnsi"/>
          <w:lang w:eastAsia="pl-PL"/>
        </w:rPr>
        <w:t>we własnym zakresie (np. środki chemiczne).</w:t>
      </w:r>
    </w:p>
    <w:p w14:paraId="4921CC88" w14:textId="4E871BD5" w:rsidR="00DB59B7" w:rsidRDefault="00DB59B7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3043A7A0" w14:textId="77777777" w:rsidR="00F91D08" w:rsidRDefault="00F91D08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4F937AD0" w14:textId="3FAC1EAE" w:rsidR="007E2AE9" w:rsidRPr="007E2AE9" w:rsidRDefault="007E2AE9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7E2AE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Pytanie 5</w:t>
      </w:r>
    </w:p>
    <w:p w14:paraId="7D6C866F" w14:textId="52FB5321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Czy Zamawiający wskaże wykonawcy punkt zrzutu brudnej wody?</w:t>
      </w:r>
    </w:p>
    <w:p w14:paraId="0F5A8D5A" w14:textId="77777777" w:rsidR="00A474B4" w:rsidRPr="007E2AE9" w:rsidRDefault="00A474B4" w:rsidP="00A474B4">
      <w:pPr>
        <w:spacing w:after="0" w:line="254" w:lineRule="auto"/>
        <w:jc w:val="both"/>
        <w:rPr>
          <w:rFonts w:asciiTheme="minorHAnsi" w:hAnsiTheme="minorHAnsi" w:cstheme="minorHAnsi"/>
          <w:b/>
        </w:rPr>
      </w:pPr>
      <w:r w:rsidRPr="007E2AE9">
        <w:rPr>
          <w:rFonts w:asciiTheme="minorHAnsi" w:hAnsiTheme="minorHAnsi" w:cstheme="minorHAnsi"/>
          <w:b/>
        </w:rPr>
        <w:t>Odpowiedź:</w:t>
      </w:r>
    </w:p>
    <w:p w14:paraId="04E357D6" w14:textId="16417CE1" w:rsidR="00C2552F" w:rsidRPr="007E2AE9" w:rsidRDefault="00D8467B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Tak.</w:t>
      </w:r>
    </w:p>
    <w:p w14:paraId="357C5F96" w14:textId="7F6BD4EE" w:rsidR="00C2552F" w:rsidRPr="007E2AE9" w:rsidRDefault="00C2552F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0EB0EC76" w14:textId="34D4909F" w:rsidR="007E2AE9" w:rsidRPr="007E2AE9" w:rsidRDefault="007E2AE9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7E2AE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Pytanie 6</w:t>
      </w:r>
    </w:p>
    <w:p w14:paraId="65765D82" w14:textId="31371819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Proszę o zmianę zapisów dotyczących zwrotu zabezpieczenia należytego wykonania umowy o którym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mowa XVIII pkt. 7 SWZ. W przedmiotowym zamówieniu na usługi utrzymania czystości wg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wykonawcy nie można mówić o rękojmi za wady a zabezpieczenie należytego wykonania powinno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zostać zwrócone w 100% w terminie 30 dni od dnia wykonania zamówienia.</w:t>
      </w:r>
    </w:p>
    <w:p w14:paraId="1FED6EDE" w14:textId="77777777" w:rsidR="00A474B4" w:rsidRPr="007E2AE9" w:rsidRDefault="00A474B4" w:rsidP="00A474B4">
      <w:pPr>
        <w:spacing w:after="0" w:line="254" w:lineRule="auto"/>
        <w:jc w:val="both"/>
        <w:rPr>
          <w:rFonts w:asciiTheme="minorHAnsi" w:hAnsiTheme="minorHAnsi" w:cstheme="minorHAnsi"/>
          <w:b/>
        </w:rPr>
      </w:pPr>
      <w:r w:rsidRPr="007E2AE9">
        <w:rPr>
          <w:rFonts w:asciiTheme="minorHAnsi" w:hAnsiTheme="minorHAnsi" w:cstheme="minorHAnsi"/>
          <w:b/>
        </w:rPr>
        <w:t>Odpowiedź:</w:t>
      </w:r>
    </w:p>
    <w:p w14:paraId="509734E7" w14:textId="5E34F1F0" w:rsidR="009C24BB" w:rsidRPr="0069255E" w:rsidRDefault="009C24BB" w:rsidP="009C24BB">
      <w:pPr>
        <w:jc w:val="both"/>
      </w:pPr>
      <w:r w:rsidRPr="0069255E">
        <w:t xml:space="preserve">Zamawiający nie uwzględnia wniosku </w:t>
      </w:r>
      <w:r>
        <w:t>w</w:t>
      </w:r>
      <w:r w:rsidRPr="0069255E">
        <w:t>ykonawcy, ponieważ ustanowienie rękojmi za wady w tym postępowaniu jest racjonalne zważywszy na rodzaj czynności składających się</w:t>
      </w:r>
      <w:r>
        <w:t xml:space="preserve"> na</w:t>
      </w:r>
      <w:r w:rsidRPr="0069255E">
        <w:t xml:space="preserve"> usługę. Skutki nienależytego wykonania usługi w przypadku, np. mycia elewacji</w:t>
      </w:r>
      <w:r>
        <w:t>,</w:t>
      </w:r>
      <w:r w:rsidRPr="0069255E">
        <w:t xml:space="preserve"> na której zainstalowane są panele fotowoltaiczne, mogą się ujawnić po wygaśnięciu lub rozwiązaniu umowy.</w:t>
      </w:r>
    </w:p>
    <w:p w14:paraId="23F43CB3" w14:textId="77777777" w:rsidR="00C2552F" w:rsidRPr="007E2AE9" w:rsidRDefault="00C2552F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</w:p>
    <w:p w14:paraId="79120EEF" w14:textId="0F899259" w:rsidR="007E2AE9" w:rsidRPr="007E2AE9" w:rsidRDefault="007E2AE9" w:rsidP="007E2AE9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7E2AE9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Pytanie 7</w:t>
      </w:r>
    </w:p>
    <w:p w14:paraId="01719050" w14:textId="15F58C7D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Zamawiający w § 12 ust. 3 pkt 3 przewidział możliwość waloryzacji wynagrodzenia cen i materiałów,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jednak nie ustalił wszystkich zasad waloryzacji i terminów zmian wartości umowy w przypadku zmiany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cen materiałów lub kosztów koniecznych do realizacji zamówienia wynikających z przepisów Ustawy tj.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nie wskazał okresów, </w:t>
      </w:r>
      <w:r w:rsidR="002733DE">
        <w:rPr>
          <w:rFonts w:asciiTheme="minorHAnsi" w:eastAsia="Times New Roman" w:hAnsiTheme="minorHAnsi" w:cstheme="minorHAnsi"/>
          <w:lang w:eastAsia="pl-PL"/>
        </w:rPr>
        <w:br/>
      </w:r>
      <w:r w:rsidRPr="007E2AE9">
        <w:rPr>
          <w:rFonts w:asciiTheme="minorHAnsi" w:eastAsia="Times New Roman" w:hAnsiTheme="minorHAnsi" w:cstheme="minorHAnsi"/>
          <w:lang w:eastAsia="pl-PL"/>
        </w:rPr>
        <w:t>w których może następować zmiana wynagrodzenia oraz od jakiej wartości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zmiany Wykonawca będzie miał możliwość złożenia wniosku o zmianę wynagrodzenia.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Wykonawca wnosi zatem o zmianę postanowień umowy, w taki sposób, aby Wykonawca był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uprawniony do złożenia wniosku o zmianę wysokości wynagrodzenia z tytułu realizacji umowy o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wykazany wzrost ceny materiałów lub kosztów w stosunku do cen, obowiązujących na dzień złożenia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oferty. Jednocześnie informujemy, iż termin realizacji umowy o przedmiotowe zamówienie publiczne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został ustalony przez zamawiającego, zgodnie SWZ, na okres 18 miesięcy od daty podpisania umowy tj.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na okres </w:t>
      </w:r>
      <w:r w:rsidRPr="007E2AE9">
        <w:rPr>
          <w:rFonts w:asciiTheme="minorHAnsi" w:eastAsia="Times New Roman" w:hAnsiTheme="minorHAnsi" w:cstheme="minorHAnsi"/>
          <w:lang w:eastAsia="pl-PL"/>
        </w:rPr>
        <w:lastRenderedPageBreak/>
        <w:t xml:space="preserve">przekraczający 12 miesięcy. Zatem zgodnie z art. 439 ustawy </w:t>
      </w:r>
      <w:proofErr w:type="spellStart"/>
      <w:r w:rsidRPr="007E2AE9">
        <w:rPr>
          <w:rFonts w:asciiTheme="minorHAnsi" w:eastAsia="Times New Roman" w:hAnsiTheme="minorHAnsi" w:cstheme="minorHAnsi"/>
          <w:lang w:eastAsia="pl-PL"/>
        </w:rPr>
        <w:t>Pzp</w:t>
      </w:r>
      <w:proofErr w:type="spellEnd"/>
      <w:r w:rsidRPr="007E2AE9">
        <w:rPr>
          <w:rFonts w:asciiTheme="minorHAnsi" w:eastAsia="Times New Roman" w:hAnsiTheme="minorHAnsi" w:cstheme="minorHAnsi"/>
          <w:lang w:eastAsia="pl-PL"/>
        </w:rPr>
        <w:t>, w przypadku umów,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zawieranych na okres dłuższy, niż 12 miesięcy, muszą one zawierać postanowienia dotyczące zasad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wprowadzenia zmian wysokości wynagrodzenia należnego wykonawcy, w przypadku zmiany ceny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materiałów lub kosztów związanych </w:t>
      </w:r>
      <w:r w:rsidR="002733DE">
        <w:rPr>
          <w:rFonts w:asciiTheme="minorHAnsi" w:eastAsia="Times New Roman" w:hAnsiTheme="minorHAnsi" w:cstheme="minorHAnsi"/>
          <w:lang w:eastAsia="pl-PL"/>
        </w:rPr>
        <w:br/>
      </w:r>
      <w:r w:rsidRPr="007E2AE9">
        <w:rPr>
          <w:rFonts w:asciiTheme="minorHAnsi" w:eastAsia="Times New Roman" w:hAnsiTheme="minorHAnsi" w:cstheme="minorHAnsi"/>
          <w:lang w:eastAsia="pl-PL"/>
        </w:rPr>
        <w:t>z realizacją zamówienia.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Umowa musi określać:</w:t>
      </w:r>
    </w:p>
    <w:p w14:paraId="7CB9FE5D" w14:textId="77777777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1) poziom zmiany ceny materiałów lub kosztów, o których mowa w ust. 1, uprawniający strony umowy</w:t>
      </w:r>
    </w:p>
    <w:p w14:paraId="0660238F" w14:textId="77777777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do żądania zmiany wynagrodzenia oraz początkowy termin ustalenia zmiany wynagrodzenia;</w:t>
      </w:r>
    </w:p>
    <w:p w14:paraId="3140E803" w14:textId="77777777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2) sposób ustalania zmiany wynagrodzenia:</w:t>
      </w:r>
    </w:p>
    <w:p w14:paraId="2211845F" w14:textId="77777777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a) z użyciem odesłania do wskaźnika zmiany ceny materiałów lub kosztów,</w:t>
      </w:r>
    </w:p>
    <w:p w14:paraId="150FFCB7" w14:textId="77777777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w szczególności wskaźnika ogłaszanego w komunikacie Prezesa Głównego Urzędu</w:t>
      </w:r>
    </w:p>
    <w:p w14:paraId="02C31999" w14:textId="77777777" w:rsidR="00B277AC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 xml:space="preserve">Statystycznego lub </w:t>
      </w:r>
    </w:p>
    <w:p w14:paraId="627FE42B" w14:textId="5C3545C9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b) przez wskazanie innej podstawy, w szczególności wykazu rodzajów materiałów lub kosztów,</w:t>
      </w:r>
    </w:p>
    <w:p w14:paraId="2E8A6650" w14:textId="11880B31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w przypadku których zmiana ceny uprawnia strony umowy do żądania zmiany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wynagrodzenia;</w:t>
      </w:r>
    </w:p>
    <w:p w14:paraId="7347D6BA" w14:textId="1C2593A7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3) sposób określenia wpływu zmiany ceny materiałów lub kosztów na koszt wykonania zamówienia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oraz określenie okresów, w których może następować zmiana wynagrodzenia wykonawcy;</w:t>
      </w:r>
    </w:p>
    <w:p w14:paraId="1C004C3A" w14:textId="2DEFA4B0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4) maksymalną wartość zmiany wynagrodzenia, jaką dopuszcza zamawiający w efekcie zastosowania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postanowień o zasadach wprowadzania zmian wysokości wynagrodzenia.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>Wykonawca wnosi o wprowadzenie do projektu umowy postanowień zgodnych z art. 439 ustawy Prawo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zamówień publicznych tj. klauzuli, </w:t>
      </w:r>
      <w:r w:rsidR="002733DE">
        <w:rPr>
          <w:rFonts w:asciiTheme="minorHAnsi" w:eastAsia="Times New Roman" w:hAnsiTheme="minorHAnsi" w:cstheme="minorHAnsi"/>
          <w:lang w:eastAsia="pl-PL"/>
        </w:rPr>
        <w:br/>
      </w:r>
      <w:r w:rsidRPr="007E2AE9">
        <w:rPr>
          <w:rFonts w:asciiTheme="minorHAnsi" w:eastAsia="Times New Roman" w:hAnsiTheme="minorHAnsi" w:cstheme="minorHAnsi"/>
          <w:lang w:eastAsia="pl-PL"/>
        </w:rPr>
        <w:t>na podstawie której wprowadzane będą zmiany wynagrodzenia</w:t>
      </w:r>
      <w:r w:rsidR="00B277A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lang w:eastAsia="pl-PL"/>
        </w:rPr>
        <w:t xml:space="preserve">wykonawcy w przypadku zmiany cen materiałów lub kosztów związanych z realizacją zamówienia, </w:t>
      </w:r>
      <w:proofErr w:type="spellStart"/>
      <w:r w:rsidRPr="007E2AE9">
        <w:rPr>
          <w:rFonts w:asciiTheme="minorHAnsi" w:eastAsia="Times New Roman" w:hAnsiTheme="minorHAnsi" w:cstheme="minorHAnsi"/>
          <w:lang w:eastAsia="pl-PL"/>
        </w:rPr>
        <w:t>tj</w:t>
      </w:r>
      <w:proofErr w:type="spellEnd"/>
      <w:r w:rsidRPr="007E2AE9">
        <w:rPr>
          <w:rFonts w:asciiTheme="minorHAnsi" w:eastAsia="Times New Roman" w:hAnsiTheme="minorHAnsi" w:cstheme="minorHAnsi"/>
          <w:lang w:eastAsia="pl-PL"/>
        </w:rPr>
        <w:t>:</w:t>
      </w:r>
    </w:p>
    <w:p w14:paraId="3878D22B" w14:textId="69189FD0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E2AE9">
        <w:rPr>
          <w:rFonts w:asciiTheme="minorHAnsi" w:eastAsia="Times New Roman" w:hAnsiTheme="minorHAnsi" w:cstheme="minorHAnsi"/>
          <w:lang w:eastAsia="pl-PL"/>
        </w:rPr>
        <w:t>1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. Strony postanawiają, że w przypadku zmiany cen materiałów lub kosztów, związanych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z realizacją przedmiotu umowy, maksymalne wynagrodzenie netto i brutto Wykonawcy oraz ceny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jednostkowe netto i brutto, ustalone w umowie (dalej wynagrodzenie), waloryzuje się na zasadach, o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których mowa w ust. 2 – 6 poniżej.</w:t>
      </w:r>
    </w:p>
    <w:p w14:paraId="0F5BE582" w14:textId="25BCC45C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2. Zmiana ceny materiałów lub kosztów będzie ustalana kwartalnie na podstawie Wskaźnika cen towarów i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usług konsumpcyjnych ogółem (kwartał do poprzedniego kwartału), ogłaszanego przez Prezesa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Głównego Urzędu Statystycznego (dalej: GUS) w Dzienniku Urzędowym Rzeczpospolitej Polskiej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„Monitor Polski” za każdy kwartał roku kalendarzowego, w którym realizowana jest umowa.</w:t>
      </w:r>
    </w:p>
    <w:p w14:paraId="11E7F2F5" w14:textId="1960B43F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 xml:space="preserve">3. Zmiana wynagrodzenia Wykonawcy będzie następować jeden (1) raz na kwartał kalendarzowy, </w:t>
      </w:r>
      <w:r w:rsidR="002733DE">
        <w:rPr>
          <w:rFonts w:asciiTheme="minorHAnsi" w:eastAsia="Times New Roman" w:hAnsiTheme="minorHAnsi" w:cstheme="minorHAnsi"/>
          <w:i/>
          <w:iCs/>
          <w:lang w:eastAsia="pl-PL"/>
        </w:rPr>
        <w:br/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z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zastrzeżeniem, że pierwsza zmiana wynagrodzenia nastąpi nie wcześniej, niż po upływie kwartału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kalendarzowego realizacji umowy oraz gdy Wskaźnik, o którym mowa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w ust. 2, przekroczy 0,2% w stosunku do Wskaźnika z kwartału kalendarzowego, w którym przypadał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termin składania ofert. Każda kolejna zmiana wynagrodzenia Wykonawcy nastąpi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 xml:space="preserve">w przypadku, gdy Wskaźnik, o których mowa w ust. 2, przekroczy 0,2% </w:t>
      </w:r>
      <w:r w:rsidR="002733DE">
        <w:rPr>
          <w:rFonts w:asciiTheme="minorHAnsi" w:eastAsia="Times New Roman" w:hAnsiTheme="minorHAnsi" w:cstheme="minorHAnsi"/>
          <w:i/>
          <w:iCs/>
          <w:lang w:eastAsia="pl-PL"/>
        </w:rPr>
        <w:br/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w stosunku do wskaźnika z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kwartału, w którym nastąpiła ostatnia zmiana wynagrodzenia wykonawcy.</w:t>
      </w:r>
    </w:p>
    <w:p w14:paraId="0A60657E" w14:textId="77777777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4. Wartość zmiany wynagrodzenia Wykonawcy będzie równa wzrostowi Wskaźnika wskazanego w ust. 3.</w:t>
      </w:r>
    </w:p>
    <w:p w14:paraId="510A95A1" w14:textId="566CA3F3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lastRenderedPageBreak/>
        <w:t>5. Wynagrodzenie Wykonawcy ulega waloryzacji od pierwszego dnia miesiąca następującego po dniu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publikacji komunikatu Prezesa GUS – z uwzględnieniem postanowień ust. 3.</w:t>
      </w:r>
    </w:p>
    <w:p w14:paraId="1075BCE2" w14:textId="7A05304E" w:rsidR="00526BD8" w:rsidRPr="007E2AE9" w:rsidRDefault="00526BD8" w:rsidP="007E2AE9">
      <w:pPr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6. Maksymalna wartość zmiany wynagrodzenia wynosi łącznie 15% w stosunku do wartości</w:t>
      </w:r>
      <w:r w:rsidR="00B277AC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Pr="007E2AE9">
        <w:rPr>
          <w:rFonts w:asciiTheme="minorHAnsi" w:eastAsia="Times New Roman" w:hAnsiTheme="minorHAnsi" w:cstheme="minorHAnsi"/>
          <w:i/>
          <w:iCs/>
          <w:lang w:eastAsia="pl-PL"/>
        </w:rPr>
        <w:t>wynagrodzenia brutto Wykonawcy, ustalonego w dniu zawarcia Umowy.</w:t>
      </w:r>
    </w:p>
    <w:p w14:paraId="72C304D3" w14:textId="77777777" w:rsidR="00A474B4" w:rsidRPr="007E2AE9" w:rsidRDefault="00A474B4" w:rsidP="00A474B4">
      <w:pPr>
        <w:spacing w:after="0" w:line="254" w:lineRule="auto"/>
        <w:jc w:val="both"/>
        <w:rPr>
          <w:rFonts w:asciiTheme="minorHAnsi" w:hAnsiTheme="minorHAnsi" w:cstheme="minorHAnsi"/>
          <w:b/>
        </w:rPr>
      </w:pPr>
      <w:r w:rsidRPr="007E2AE9">
        <w:rPr>
          <w:rFonts w:asciiTheme="minorHAnsi" w:hAnsiTheme="minorHAnsi" w:cstheme="minorHAnsi"/>
          <w:b/>
        </w:rPr>
        <w:t>Odpowiedź:</w:t>
      </w:r>
    </w:p>
    <w:p w14:paraId="7059A4B2" w14:textId="7EF64B93" w:rsidR="00AA7572" w:rsidRPr="002733DE" w:rsidRDefault="008C15CE" w:rsidP="008C15CE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2733DE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="00AA7572" w:rsidRPr="002733DE">
        <w:rPr>
          <w:rFonts w:asciiTheme="minorHAnsi" w:eastAsia="Times New Roman" w:hAnsiTheme="minorHAnsi" w:cstheme="minorHAnsi"/>
          <w:lang w:eastAsia="pl-PL"/>
        </w:rPr>
        <w:t xml:space="preserve">wskazuje, że dokonał </w:t>
      </w:r>
      <w:r w:rsidR="00B56BF3" w:rsidRPr="002733DE">
        <w:rPr>
          <w:rFonts w:asciiTheme="minorHAnsi" w:eastAsia="Times New Roman" w:hAnsiTheme="minorHAnsi" w:cstheme="minorHAnsi"/>
          <w:lang w:eastAsia="pl-PL"/>
        </w:rPr>
        <w:t xml:space="preserve">modyfikacji </w:t>
      </w:r>
      <w:r w:rsidR="00AA7572" w:rsidRPr="002733DE">
        <w:rPr>
          <w:rFonts w:asciiTheme="minorHAnsi" w:eastAsia="Times New Roman" w:hAnsiTheme="minorHAnsi" w:cstheme="minorHAnsi"/>
          <w:lang w:eastAsia="pl-PL"/>
        </w:rPr>
        <w:t>Wzoru Umowy poprzez zmianę brzmienia lit. a) w par. 12 ust. 3 pkt 3) Wzoru Umowy.</w:t>
      </w:r>
    </w:p>
    <w:p w14:paraId="3A3CA402" w14:textId="764C6BDD" w:rsidR="00075B97" w:rsidRPr="002733DE" w:rsidRDefault="00075B97" w:rsidP="008C15CE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2733DE">
        <w:rPr>
          <w:rFonts w:asciiTheme="minorHAnsi" w:eastAsia="Times New Roman" w:hAnsiTheme="minorHAnsi" w:cstheme="minorHAnsi"/>
          <w:lang w:eastAsia="pl-PL"/>
        </w:rPr>
        <w:t>Par. 12 ust. 3 pkt 3) lit. a) Wzoru Umowy otrzymuje nowe brzmienie:</w:t>
      </w:r>
    </w:p>
    <w:p w14:paraId="39A3E844" w14:textId="6A99C93E" w:rsidR="00075B97" w:rsidRPr="002733DE" w:rsidRDefault="00075B97" w:rsidP="00075B97">
      <w:pPr>
        <w:tabs>
          <w:tab w:val="left" w:pos="1276"/>
        </w:tabs>
        <w:spacing w:after="0" w:line="259" w:lineRule="auto"/>
        <w:jc w:val="both"/>
        <w:rPr>
          <w:rFonts w:asciiTheme="minorHAnsi" w:hAnsiTheme="minorHAnsi" w:cstheme="minorHAnsi"/>
        </w:rPr>
      </w:pPr>
      <w:bookmarkStart w:id="0" w:name="_Hlk97625650"/>
      <w:r w:rsidRPr="002733DE">
        <w:rPr>
          <w:rFonts w:asciiTheme="minorHAnsi" w:hAnsiTheme="minorHAnsi" w:cstheme="minorHAnsi"/>
        </w:rPr>
        <w:t xml:space="preserve">„wysokość wynagrodzenia Wykonawcy może ulec zmianie w przypadku zmiany kosztów związanych z realizacją zamówienia, z </w:t>
      </w:r>
      <w:r w:rsidR="00AA7572" w:rsidRPr="002733DE">
        <w:rPr>
          <w:rFonts w:asciiTheme="minorHAnsi" w:hAnsiTheme="minorHAnsi" w:cstheme="minorHAnsi"/>
        </w:rPr>
        <w:t xml:space="preserve">tym </w:t>
      </w:r>
      <w:r w:rsidRPr="002733DE">
        <w:rPr>
          <w:rFonts w:asciiTheme="minorHAnsi" w:hAnsiTheme="minorHAnsi" w:cstheme="minorHAnsi"/>
        </w:rPr>
        <w:t>zastrzeżeniem, że pierwsza zmiana wynagrodzenia nastąpi nie wcześniej niż po upływie kwartału kalendarzowego realizacji umowy oraz gdy wskaźnik</w:t>
      </w:r>
      <w:r w:rsidR="00AA7572" w:rsidRPr="002733DE">
        <w:rPr>
          <w:rFonts w:asciiTheme="minorHAnsi" w:hAnsiTheme="minorHAnsi" w:cstheme="minorHAnsi"/>
        </w:rPr>
        <w:t>, o którym mowa w lit. b), przekroczy 0,2% w stosunku do wskaźnika z kwartału kalendarzowego, w którym przypadał termin składania ofert. Każda kolejna zmiana wynagrodzenia Wykonawcy nastąpi w przypadku, gdy wskaźnik, o których mowa w lit. b), przekroczy 0,2% w stosunku do wskaźnika z kwartału, w którym nastąpiła ostatnia zmiana wynagrodzenia wykonawcy,”.</w:t>
      </w:r>
    </w:p>
    <w:bookmarkEnd w:id="0"/>
    <w:p w14:paraId="67A0444D" w14:textId="75AA9E92" w:rsidR="00075B97" w:rsidRDefault="00075B97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D9246A5" w14:textId="77777777" w:rsidR="00AA7572" w:rsidRPr="00075B97" w:rsidRDefault="00AA7572">
      <w:pPr>
        <w:jc w:val="both"/>
        <w:rPr>
          <w:rFonts w:asciiTheme="minorHAnsi" w:hAnsiTheme="minorHAnsi" w:cstheme="minorHAnsi"/>
          <w:color w:val="FF0000"/>
        </w:rPr>
      </w:pPr>
    </w:p>
    <w:sectPr w:rsidR="00AA7572" w:rsidRPr="00075B97" w:rsidSect="008162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618D" w14:textId="77777777" w:rsidR="00635B68" w:rsidRDefault="00635B68" w:rsidP="00013907">
      <w:pPr>
        <w:spacing w:after="0" w:line="240" w:lineRule="auto"/>
      </w:pPr>
      <w:r>
        <w:separator/>
      </w:r>
    </w:p>
  </w:endnote>
  <w:endnote w:type="continuationSeparator" w:id="0">
    <w:p w14:paraId="29294C2E" w14:textId="77777777" w:rsidR="00635B68" w:rsidRDefault="00635B68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AC3D" w14:textId="77777777" w:rsidR="006D6F20" w:rsidRPr="007C13BE" w:rsidRDefault="00B419FB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8162F3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  <w:r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8162F3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D439" w14:textId="77777777" w:rsidR="00635B68" w:rsidRDefault="00635B68" w:rsidP="00013907">
      <w:pPr>
        <w:spacing w:after="0" w:line="240" w:lineRule="auto"/>
      </w:pPr>
      <w:r>
        <w:separator/>
      </w:r>
    </w:p>
  </w:footnote>
  <w:footnote w:type="continuationSeparator" w:id="0">
    <w:p w14:paraId="773493AE" w14:textId="77777777" w:rsidR="00635B68" w:rsidRDefault="00635B68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10C2" w14:textId="684CF33D" w:rsidR="0062723F" w:rsidRDefault="00C255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 wp14:anchorId="713BA84E" wp14:editId="4D2A3C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21960" cy="7811135"/>
          <wp:effectExtent l="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1960" cy="7811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ED12" w14:textId="77777777" w:rsidR="00013907" w:rsidRPr="00D72742" w:rsidRDefault="00F91D08">
    <w:pPr>
      <w:pStyle w:val="Nagwek"/>
      <w:rPr>
        <w:color w:val="C62D54"/>
      </w:rPr>
    </w:pPr>
    <w:r>
      <w:rPr>
        <w:noProof/>
        <w:lang w:eastAsia="pl-PL"/>
      </w:rPr>
      <w:pict w14:anchorId="18B4A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EBE0" w14:textId="77777777" w:rsidR="00FC7C7B" w:rsidRDefault="00F91D08">
    <w:pPr>
      <w:pStyle w:val="Nagwek"/>
    </w:pPr>
    <w:r>
      <w:rPr>
        <w:noProof/>
        <w:lang w:eastAsia="pl-PL"/>
      </w:rPr>
      <w:pict w14:anchorId="654F7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C6CB4"/>
    <w:multiLevelType w:val="hybridMultilevel"/>
    <w:tmpl w:val="05D6508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D8"/>
    <w:rsid w:val="00011B4C"/>
    <w:rsid w:val="00013907"/>
    <w:rsid w:val="00036A54"/>
    <w:rsid w:val="00075B97"/>
    <w:rsid w:val="00080CDE"/>
    <w:rsid w:val="00083FF5"/>
    <w:rsid w:val="000A699F"/>
    <w:rsid w:val="000D0BB0"/>
    <w:rsid w:val="000D1E01"/>
    <w:rsid w:val="001470D6"/>
    <w:rsid w:val="001872B4"/>
    <w:rsid w:val="001F5009"/>
    <w:rsid w:val="00247423"/>
    <w:rsid w:val="00251F90"/>
    <w:rsid w:val="002733DE"/>
    <w:rsid w:val="00295A36"/>
    <w:rsid w:val="002A3146"/>
    <w:rsid w:val="002D1E7C"/>
    <w:rsid w:val="002F7C45"/>
    <w:rsid w:val="00383494"/>
    <w:rsid w:val="003B0534"/>
    <w:rsid w:val="003F13E6"/>
    <w:rsid w:val="0041760F"/>
    <w:rsid w:val="004415F5"/>
    <w:rsid w:val="00526BB0"/>
    <w:rsid w:val="00526BD8"/>
    <w:rsid w:val="00530311"/>
    <w:rsid w:val="0054724D"/>
    <w:rsid w:val="005C57C5"/>
    <w:rsid w:val="005D3B82"/>
    <w:rsid w:val="005E6617"/>
    <w:rsid w:val="00602CA7"/>
    <w:rsid w:val="006104DC"/>
    <w:rsid w:val="0061396A"/>
    <w:rsid w:val="0062723F"/>
    <w:rsid w:val="00635B68"/>
    <w:rsid w:val="006A37F9"/>
    <w:rsid w:val="006D6F20"/>
    <w:rsid w:val="007074F7"/>
    <w:rsid w:val="00712D4F"/>
    <w:rsid w:val="00734542"/>
    <w:rsid w:val="00783394"/>
    <w:rsid w:val="007919B7"/>
    <w:rsid w:val="007C13BE"/>
    <w:rsid w:val="007E2AE9"/>
    <w:rsid w:val="008162F3"/>
    <w:rsid w:val="00830DF2"/>
    <w:rsid w:val="0088010F"/>
    <w:rsid w:val="008B4B29"/>
    <w:rsid w:val="008C15CE"/>
    <w:rsid w:val="008F3A77"/>
    <w:rsid w:val="00964B25"/>
    <w:rsid w:val="009A3B76"/>
    <w:rsid w:val="009C24BB"/>
    <w:rsid w:val="009C6BC5"/>
    <w:rsid w:val="00A474B4"/>
    <w:rsid w:val="00AA7572"/>
    <w:rsid w:val="00AC6384"/>
    <w:rsid w:val="00B13E06"/>
    <w:rsid w:val="00B2220F"/>
    <w:rsid w:val="00B277AC"/>
    <w:rsid w:val="00B419FB"/>
    <w:rsid w:val="00B51346"/>
    <w:rsid w:val="00B56BF3"/>
    <w:rsid w:val="00BB32C2"/>
    <w:rsid w:val="00BC5E7B"/>
    <w:rsid w:val="00BE6C50"/>
    <w:rsid w:val="00C2552F"/>
    <w:rsid w:val="00C26577"/>
    <w:rsid w:val="00C54A3F"/>
    <w:rsid w:val="00C70C21"/>
    <w:rsid w:val="00CA3DAE"/>
    <w:rsid w:val="00D02D19"/>
    <w:rsid w:val="00D41BD2"/>
    <w:rsid w:val="00D72742"/>
    <w:rsid w:val="00D8467B"/>
    <w:rsid w:val="00D94917"/>
    <w:rsid w:val="00DA2487"/>
    <w:rsid w:val="00DB59B7"/>
    <w:rsid w:val="00E15273"/>
    <w:rsid w:val="00E24886"/>
    <w:rsid w:val="00E51E59"/>
    <w:rsid w:val="00EB622D"/>
    <w:rsid w:val="00EB6A60"/>
    <w:rsid w:val="00F617C9"/>
    <w:rsid w:val="00F65734"/>
    <w:rsid w:val="00F919A9"/>
    <w:rsid w:val="00F91D08"/>
    <w:rsid w:val="00FC7C7B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FF75DE6"/>
  <w15:docId w15:val="{9A189F3A-C08B-420E-B9B9-CEE2C78D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B4C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552F"/>
    <w:pPr>
      <w:keepNext/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552F"/>
    <w:rPr>
      <w:rFonts w:asciiTheme="minorHAnsi" w:eastAsia="Times New Roman" w:hAnsiTheme="minorHAnsi" w:cstheme="minorHAnsi"/>
      <w:b/>
      <w:i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552F"/>
    <w:pPr>
      <w:ind w:firstLine="708"/>
      <w:jc w:val="both"/>
    </w:pPr>
    <w:rPr>
      <w:rFonts w:asciiTheme="minorHAnsi" w:eastAsia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2552F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02CA7"/>
  </w:style>
  <w:style w:type="character" w:styleId="Odwoaniedokomentarza">
    <w:name w:val="annotation reference"/>
    <w:basedOn w:val="Domylnaczcionkaakapitu"/>
    <w:uiPriority w:val="99"/>
    <w:semiHidden/>
    <w:unhideWhenUsed/>
    <w:rsid w:val="00AA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5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57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B60E-4F3D-4CB2-82AD-24907AE8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Śmigielska</dc:creator>
  <cp:keywords/>
  <cp:lastModifiedBy>Iwona Śmigielska</cp:lastModifiedBy>
  <cp:revision>4</cp:revision>
  <cp:lastPrinted>2017-12-18T13:05:00Z</cp:lastPrinted>
  <dcterms:created xsi:type="dcterms:W3CDTF">2022-03-08T08:59:00Z</dcterms:created>
  <dcterms:modified xsi:type="dcterms:W3CDTF">2022-03-08T09:07:00Z</dcterms:modified>
</cp:coreProperties>
</file>