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555" w:rsidRDefault="007C4555" w:rsidP="007C4555">
      <w:pPr>
        <w:rPr>
          <w:rFonts w:ascii="Calibri Light" w:hAnsi="Calibri Light" w:cs="Calibri Light"/>
          <w:noProof/>
          <w:sz w:val="20"/>
          <w:szCs w:val="20"/>
        </w:rPr>
      </w:pPr>
    </w:p>
    <w:p w:rsidR="007C4555" w:rsidRDefault="007C4555" w:rsidP="007C4555">
      <w:pPr>
        <w:jc w:val="center"/>
        <w:rPr>
          <w:rFonts w:ascii="Calibri Light" w:hAnsi="Calibri Light" w:cs="Calibri Light"/>
          <w:b/>
          <w:bCs/>
          <w:sz w:val="20"/>
          <w:szCs w:val="20"/>
        </w:rPr>
      </w:pPr>
      <w:r>
        <w:rPr>
          <w:rFonts w:ascii="Calibri Light" w:hAnsi="Calibri Light" w:cs="Calibri Light"/>
          <w:noProof/>
          <w:sz w:val="20"/>
          <w:szCs w:val="20"/>
          <w:lang w:eastAsia="pl-PL"/>
        </w:rPr>
        <w:drawing>
          <wp:inline distT="0" distB="0" distL="0" distR="0" wp14:anchorId="2BAEF87E" wp14:editId="727FBFC1">
            <wp:extent cx="4505325" cy="2009775"/>
            <wp:effectExtent l="0" t="0" r="9525" b="9525"/>
            <wp:docPr id="3" name="Obraz 3" descr="kpt-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kpt-logo-ne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5325" cy="2009775"/>
                    </a:xfrm>
                    <a:prstGeom prst="rect">
                      <a:avLst/>
                    </a:prstGeom>
                    <a:noFill/>
                    <a:ln>
                      <a:noFill/>
                    </a:ln>
                  </pic:spPr>
                </pic:pic>
              </a:graphicData>
            </a:graphic>
          </wp:inline>
        </w:drawing>
      </w:r>
    </w:p>
    <w:p w:rsidR="007C4555" w:rsidRDefault="007C4555" w:rsidP="007C4555">
      <w:pPr>
        <w:jc w:val="both"/>
        <w:rPr>
          <w:rFonts w:ascii="Calibri Light" w:hAnsi="Calibri Light" w:cs="Calibri Light"/>
          <w:b/>
          <w:bCs/>
          <w:sz w:val="20"/>
          <w:szCs w:val="20"/>
        </w:rPr>
      </w:pPr>
    </w:p>
    <w:p w:rsidR="007C4555" w:rsidRDefault="007C4555" w:rsidP="007C4555">
      <w:pPr>
        <w:jc w:val="center"/>
        <w:rPr>
          <w:rFonts w:ascii="Calibri Light" w:hAnsi="Calibri Light" w:cs="Calibri Light"/>
          <w:b/>
          <w:bCs/>
          <w:sz w:val="20"/>
          <w:szCs w:val="20"/>
        </w:rPr>
      </w:pPr>
      <w:r>
        <w:rPr>
          <w:rFonts w:ascii="Calibri Light" w:hAnsi="Calibri Light" w:cs="Calibri Light"/>
          <w:b/>
          <w:bCs/>
          <w:sz w:val="20"/>
          <w:szCs w:val="20"/>
        </w:rPr>
        <w:t>Opis warunków udziału w postępowaniu w trybie przetargu nieograniczonego</w:t>
      </w:r>
      <w:r>
        <w:rPr>
          <w:rFonts w:ascii="Calibri Light" w:hAnsi="Calibri Light" w:cs="Calibri Light"/>
          <w:b/>
          <w:bCs/>
          <w:sz w:val="20"/>
          <w:szCs w:val="20"/>
        </w:rPr>
        <w:br/>
        <w:t xml:space="preserve"> na wynajem nieruchomości zabudowanych, stanowiących własność Miasta Kielce </w:t>
      </w:r>
      <w:r>
        <w:rPr>
          <w:rFonts w:ascii="Calibri Light" w:hAnsi="Calibri Light" w:cs="Calibri Light"/>
          <w:b/>
          <w:bCs/>
          <w:sz w:val="20"/>
          <w:szCs w:val="20"/>
        </w:rPr>
        <w:br/>
        <w:t>i będących w trwałym zarządzie Kieleckiego Parku Technologicznego – Strefa II – Centrum Technologiczne, objętych obszarem Specjalnej Strefy Ekonomicznej „Starachowice” (Podstrefa Kielce).</w:t>
      </w:r>
    </w:p>
    <w:p w:rsidR="007C4555" w:rsidRDefault="007C4555" w:rsidP="007C4555">
      <w:pPr>
        <w:jc w:val="both"/>
        <w:rPr>
          <w:rFonts w:ascii="Calibri Light" w:hAnsi="Calibri Light" w:cs="Calibri Light"/>
          <w:b/>
          <w:bCs/>
          <w:sz w:val="20"/>
          <w:szCs w:val="20"/>
        </w:rPr>
      </w:pPr>
    </w:p>
    <w:p w:rsidR="007C4555" w:rsidRDefault="007C4555" w:rsidP="007C4555">
      <w:pPr>
        <w:jc w:val="both"/>
        <w:rPr>
          <w:rFonts w:ascii="Calibri Light" w:hAnsi="Calibri Light" w:cs="Calibri Light"/>
          <w:b/>
          <w:bCs/>
          <w:sz w:val="20"/>
          <w:szCs w:val="20"/>
        </w:rPr>
      </w:pPr>
    </w:p>
    <w:p w:rsidR="007C4555" w:rsidRDefault="007C4555" w:rsidP="007C4555">
      <w:pPr>
        <w:jc w:val="both"/>
        <w:rPr>
          <w:rFonts w:ascii="Calibri Light" w:hAnsi="Calibri Light" w:cs="Calibri Light"/>
          <w:b/>
          <w:bCs/>
          <w:sz w:val="20"/>
          <w:szCs w:val="20"/>
        </w:rPr>
      </w:pPr>
      <w:r>
        <w:rPr>
          <w:rFonts w:ascii="Calibri Light" w:hAnsi="Calibri Light" w:cs="Calibri Light"/>
          <w:b/>
          <w:bCs/>
          <w:sz w:val="20"/>
          <w:szCs w:val="20"/>
        </w:rPr>
        <w:t>OGŁASZAJĄCY:</w:t>
      </w:r>
    </w:p>
    <w:p w:rsidR="007C4555" w:rsidRDefault="007C4555" w:rsidP="007C4555">
      <w:pPr>
        <w:jc w:val="both"/>
        <w:rPr>
          <w:rFonts w:ascii="Calibri Light" w:hAnsi="Calibri Light" w:cs="Calibri Light"/>
          <w:b/>
          <w:bCs/>
          <w:sz w:val="20"/>
          <w:szCs w:val="20"/>
        </w:rPr>
      </w:pPr>
    </w:p>
    <w:p w:rsidR="007C4555" w:rsidRDefault="007C4555" w:rsidP="007C4555">
      <w:pPr>
        <w:pStyle w:val="Nagwek"/>
        <w:tabs>
          <w:tab w:val="left" w:pos="708"/>
        </w:tabs>
        <w:jc w:val="center"/>
        <w:rPr>
          <w:rFonts w:ascii="Calibri Light" w:hAnsi="Calibri Light" w:cs="Calibri Light"/>
          <w:b/>
          <w:bCs/>
          <w:sz w:val="20"/>
          <w:szCs w:val="20"/>
        </w:rPr>
      </w:pPr>
      <w:r>
        <w:rPr>
          <w:rFonts w:ascii="Calibri Light" w:hAnsi="Calibri Light" w:cs="Calibri Light"/>
          <w:b/>
          <w:bCs/>
          <w:sz w:val="20"/>
          <w:szCs w:val="20"/>
        </w:rPr>
        <w:t xml:space="preserve">KIELECKI PARK TECHNOLOGICZNY </w:t>
      </w:r>
    </w:p>
    <w:p w:rsidR="007C4555" w:rsidRDefault="007C4555" w:rsidP="007C4555">
      <w:pPr>
        <w:jc w:val="center"/>
        <w:rPr>
          <w:rFonts w:ascii="Calibri Light" w:hAnsi="Calibri Light" w:cs="Calibri Light"/>
          <w:b/>
          <w:bCs/>
          <w:sz w:val="20"/>
          <w:szCs w:val="20"/>
        </w:rPr>
      </w:pPr>
      <w:r>
        <w:rPr>
          <w:rFonts w:ascii="Calibri Light" w:hAnsi="Calibri Light" w:cs="Calibri Light"/>
          <w:b/>
          <w:bCs/>
          <w:sz w:val="20"/>
          <w:szCs w:val="20"/>
        </w:rPr>
        <w:t>Ul. Olszewskiego 6, 25-663 KIELCE</w:t>
      </w:r>
    </w:p>
    <w:p w:rsidR="007C4555" w:rsidRDefault="007C4555" w:rsidP="007C4555">
      <w:pPr>
        <w:pStyle w:val="Nagwek1"/>
        <w:jc w:val="center"/>
        <w:rPr>
          <w:rFonts w:ascii="Calibri Light" w:hAnsi="Calibri Light" w:cs="Calibri Light"/>
          <w:sz w:val="20"/>
          <w:szCs w:val="20"/>
          <w:lang w:val="en-GB"/>
        </w:rPr>
      </w:pPr>
      <w:r w:rsidRPr="00D26412">
        <w:rPr>
          <w:rFonts w:ascii="Calibri Light" w:hAnsi="Calibri Light" w:cs="Calibri Light"/>
          <w:sz w:val="20"/>
          <w:szCs w:val="20"/>
          <w:lang w:val="en-US"/>
        </w:rPr>
        <w:br/>
      </w:r>
      <w:r>
        <w:rPr>
          <w:rFonts w:ascii="Calibri Light" w:hAnsi="Calibri Light" w:cs="Calibri Light"/>
          <w:sz w:val="20"/>
          <w:szCs w:val="20"/>
          <w:lang w:val="en-GB"/>
        </w:rPr>
        <w:t>TEL: +48 41 278 72 00</w:t>
      </w:r>
    </w:p>
    <w:p w:rsidR="007C4555" w:rsidRDefault="007C4555" w:rsidP="007C4555">
      <w:pPr>
        <w:jc w:val="center"/>
        <w:rPr>
          <w:rFonts w:ascii="Calibri Light" w:hAnsi="Calibri Light" w:cs="Calibri Light"/>
          <w:b/>
          <w:sz w:val="20"/>
          <w:szCs w:val="20"/>
          <w:lang w:val="en-GB"/>
        </w:rPr>
      </w:pPr>
      <w:r>
        <w:rPr>
          <w:rFonts w:ascii="Calibri Light" w:hAnsi="Calibri Light" w:cs="Calibri Light"/>
          <w:b/>
          <w:sz w:val="20"/>
          <w:szCs w:val="20"/>
          <w:lang w:val="en-GB"/>
        </w:rPr>
        <w:t>TEL/FAX: +48 41 278 72 01</w:t>
      </w:r>
    </w:p>
    <w:p w:rsidR="007C4555" w:rsidRPr="00DF75AF" w:rsidRDefault="007C4555" w:rsidP="007C4555">
      <w:pPr>
        <w:jc w:val="center"/>
        <w:rPr>
          <w:rFonts w:ascii="Calibri Light" w:hAnsi="Calibri Light" w:cs="Calibri Light"/>
          <w:b/>
          <w:sz w:val="20"/>
          <w:szCs w:val="20"/>
        </w:rPr>
      </w:pPr>
      <w:r>
        <w:rPr>
          <w:rFonts w:ascii="Calibri Light" w:hAnsi="Calibri Light" w:cs="Calibri Light"/>
          <w:b/>
          <w:sz w:val="20"/>
          <w:szCs w:val="20"/>
          <w:lang w:val="en-US"/>
        </w:rPr>
        <w:t xml:space="preserve">e-mail. </w:t>
      </w:r>
      <w:hyperlink r:id="rId8" w:history="1">
        <w:r w:rsidRPr="00DF75AF">
          <w:rPr>
            <w:rStyle w:val="Hipercze"/>
            <w:rFonts w:ascii="Calibri Light" w:hAnsi="Calibri Light" w:cs="Calibri Light"/>
            <w:b/>
            <w:sz w:val="20"/>
            <w:szCs w:val="20"/>
          </w:rPr>
          <w:t>biuro@technopark.kielce.pl</w:t>
        </w:r>
      </w:hyperlink>
    </w:p>
    <w:p w:rsidR="007C4555" w:rsidRPr="00772FB0" w:rsidRDefault="00B10233" w:rsidP="007C4555">
      <w:pPr>
        <w:jc w:val="center"/>
        <w:rPr>
          <w:rFonts w:ascii="Calibri Light" w:hAnsi="Calibri Light" w:cs="Calibri Light"/>
          <w:b/>
          <w:sz w:val="20"/>
          <w:szCs w:val="20"/>
        </w:rPr>
      </w:pPr>
      <w:hyperlink r:id="rId9" w:history="1">
        <w:r w:rsidR="007C4555" w:rsidRPr="00772FB0">
          <w:rPr>
            <w:rStyle w:val="Hipercze"/>
            <w:rFonts w:ascii="Calibri Light" w:hAnsi="Calibri Light" w:cs="Calibri Light"/>
            <w:b/>
            <w:sz w:val="20"/>
            <w:szCs w:val="20"/>
          </w:rPr>
          <w:t>www.technopark.kielce.pl</w:t>
        </w:r>
      </w:hyperlink>
      <w:r w:rsidR="007C4555" w:rsidRPr="00772FB0">
        <w:rPr>
          <w:rFonts w:ascii="Calibri Light" w:hAnsi="Calibri Light" w:cs="Calibri Light"/>
          <w:b/>
          <w:sz w:val="20"/>
          <w:szCs w:val="20"/>
        </w:rPr>
        <w:t xml:space="preserve"> </w:t>
      </w:r>
    </w:p>
    <w:p w:rsidR="007C4555" w:rsidRPr="00772FB0" w:rsidRDefault="007C4555" w:rsidP="007C4555">
      <w:pPr>
        <w:jc w:val="center"/>
        <w:rPr>
          <w:rFonts w:ascii="Calibri Light" w:hAnsi="Calibri Light" w:cs="Calibri Light"/>
          <w:b/>
          <w:sz w:val="20"/>
          <w:szCs w:val="20"/>
        </w:rPr>
      </w:pPr>
    </w:p>
    <w:p w:rsidR="007C4555" w:rsidRPr="00772FB0" w:rsidRDefault="007C4555" w:rsidP="007C4555">
      <w:pPr>
        <w:jc w:val="center"/>
        <w:rPr>
          <w:rFonts w:ascii="Calibri Light" w:hAnsi="Calibri Light" w:cs="Calibri Light"/>
          <w:b/>
          <w:sz w:val="20"/>
          <w:szCs w:val="20"/>
        </w:rPr>
      </w:pPr>
    </w:p>
    <w:p w:rsidR="007C4555" w:rsidRDefault="007C4555" w:rsidP="007C4555">
      <w:pPr>
        <w:jc w:val="center"/>
        <w:rPr>
          <w:rFonts w:ascii="Calibri Light" w:hAnsi="Calibri Light" w:cs="Calibri Light"/>
          <w:sz w:val="20"/>
          <w:szCs w:val="20"/>
        </w:rPr>
      </w:pPr>
      <w:r>
        <w:rPr>
          <w:rFonts w:ascii="Calibri Light" w:hAnsi="Calibri Light" w:cs="Calibri Light"/>
          <w:sz w:val="20"/>
          <w:szCs w:val="20"/>
        </w:rPr>
        <w:t>__________________________________________________________________________</w:t>
      </w:r>
    </w:p>
    <w:p w:rsidR="007C4555" w:rsidRDefault="007C4555" w:rsidP="007C4555">
      <w:pPr>
        <w:rPr>
          <w:rFonts w:ascii="Calibri Light" w:eastAsia="Times New Roman" w:hAnsi="Calibri Light" w:cs="Calibri Light"/>
          <w:b/>
          <w:bCs/>
          <w:sz w:val="20"/>
          <w:szCs w:val="20"/>
          <w:lang w:eastAsia="pl-PL"/>
        </w:rPr>
      </w:pPr>
    </w:p>
    <w:p w:rsidR="007C4555" w:rsidRDefault="007C4555" w:rsidP="007C4555">
      <w:pPr>
        <w:rPr>
          <w:rFonts w:ascii="Calibri Light" w:eastAsia="Times New Roman" w:hAnsi="Calibri Light" w:cs="Calibri Light"/>
          <w:b/>
          <w:bCs/>
          <w:sz w:val="20"/>
          <w:szCs w:val="20"/>
          <w:lang w:eastAsia="pl-PL"/>
        </w:rPr>
      </w:pPr>
    </w:p>
    <w:p w:rsidR="007C4555" w:rsidRDefault="007C4555" w:rsidP="007C4555">
      <w:pPr>
        <w:rPr>
          <w:rFonts w:ascii="Calibri Light" w:eastAsia="Times New Roman" w:hAnsi="Calibri Light" w:cs="Calibri Light"/>
          <w:b/>
          <w:bCs/>
          <w:sz w:val="20"/>
          <w:szCs w:val="20"/>
          <w:lang w:eastAsia="pl-PL"/>
        </w:rPr>
      </w:pPr>
    </w:p>
    <w:p w:rsidR="00356B41" w:rsidRDefault="00B10233" w:rsidP="007E5D31">
      <w:pPr>
        <w:ind w:left="5664"/>
      </w:pPr>
    </w:p>
    <w:p w:rsidR="00BB0041" w:rsidRDefault="00C21C1C" w:rsidP="00BB0041">
      <w:pPr>
        <w:rPr>
          <w:rFonts w:ascii="Calibri Light" w:hAnsi="Calibri Light" w:cs="Calibri Light"/>
          <w:sz w:val="20"/>
          <w:szCs w:val="20"/>
          <w:lang w:eastAsia="pl-PL"/>
        </w:rPr>
      </w:pPr>
      <w:r>
        <w:rPr>
          <w:rFonts w:ascii="Calibri Light" w:eastAsia="Times New Roman" w:hAnsi="Calibri Light" w:cs="Calibri Light"/>
          <w:b/>
          <w:bCs/>
          <w:sz w:val="20"/>
          <w:szCs w:val="20"/>
          <w:lang w:eastAsia="pl-PL"/>
        </w:rPr>
        <w:lastRenderedPageBreak/>
        <w:t>KPT-DZI.725.5</w:t>
      </w:r>
      <w:r w:rsidR="00BB0041">
        <w:rPr>
          <w:rFonts w:ascii="Calibri Light" w:eastAsia="Times New Roman" w:hAnsi="Calibri Light" w:cs="Calibri Light"/>
          <w:b/>
          <w:bCs/>
          <w:sz w:val="20"/>
          <w:szCs w:val="20"/>
          <w:lang w:eastAsia="pl-PL"/>
        </w:rPr>
        <w:t>.2024</w:t>
      </w:r>
    </w:p>
    <w:p w:rsidR="00BB0041" w:rsidRDefault="00BB0041" w:rsidP="00BB0041">
      <w:pPr>
        <w:jc w:val="center"/>
        <w:rPr>
          <w:rFonts w:ascii="Calibri Light" w:hAnsi="Calibri Light" w:cs="Calibri Light"/>
          <w:b/>
          <w:color w:val="C62D54"/>
          <w:sz w:val="20"/>
          <w:szCs w:val="20"/>
        </w:rPr>
      </w:pPr>
    </w:p>
    <w:p w:rsidR="00BB0041" w:rsidRDefault="00BB0041" w:rsidP="00BB0041">
      <w:pPr>
        <w:jc w:val="center"/>
        <w:rPr>
          <w:rFonts w:ascii="Calibri Light" w:hAnsi="Calibri Light" w:cs="Calibri Light"/>
          <w:b/>
          <w:color w:val="C62D54"/>
          <w:sz w:val="20"/>
          <w:szCs w:val="20"/>
        </w:rPr>
      </w:pPr>
    </w:p>
    <w:p w:rsidR="00BB0041" w:rsidRDefault="00BB0041" w:rsidP="00BB0041">
      <w:pPr>
        <w:jc w:val="center"/>
        <w:rPr>
          <w:rFonts w:ascii="Calibri Light" w:hAnsi="Calibri Light" w:cs="Calibri Light"/>
          <w:b/>
          <w:color w:val="C62D54"/>
          <w:sz w:val="20"/>
          <w:szCs w:val="20"/>
        </w:rPr>
      </w:pPr>
    </w:p>
    <w:p w:rsidR="00BB0041" w:rsidRPr="00EF1F54" w:rsidRDefault="00BB0041" w:rsidP="00BB0041">
      <w:pPr>
        <w:jc w:val="center"/>
        <w:rPr>
          <w:rFonts w:ascii="Calibri Light" w:hAnsi="Calibri Light" w:cs="Calibri Light"/>
          <w:sz w:val="36"/>
          <w:szCs w:val="20"/>
        </w:rPr>
      </w:pPr>
      <w:r w:rsidRPr="00EF1F54">
        <w:rPr>
          <w:rFonts w:ascii="Calibri Light" w:hAnsi="Calibri Light" w:cs="Calibri Light"/>
          <w:b/>
          <w:sz w:val="36"/>
          <w:szCs w:val="20"/>
        </w:rPr>
        <w:t>SPECYFIKACJA ISTOTNYCH WARUNKÓW PRZETARGU</w:t>
      </w:r>
    </w:p>
    <w:p w:rsidR="00BB0041" w:rsidRDefault="00BB0041" w:rsidP="00BB0041">
      <w:pPr>
        <w:jc w:val="both"/>
        <w:rPr>
          <w:rFonts w:ascii="Calibri Light" w:hAnsi="Calibri Light" w:cs="Calibri Light"/>
          <w:sz w:val="20"/>
          <w:szCs w:val="20"/>
        </w:rPr>
      </w:pPr>
    </w:p>
    <w:p w:rsidR="00BB0041" w:rsidRDefault="00BB0041" w:rsidP="00BB0041">
      <w:pPr>
        <w:jc w:val="both"/>
        <w:rPr>
          <w:rFonts w:ascii="Calibri Light" w:hAnsi="Calibri Light" w:cs="Calibri Light"/>
          <w:sz w:val="20"/>
          <w:szCs w:val="20"/>
        </w:rPr>
      </w:pPr>
    </w:p>
    <w:p w:rsidR="00BB0041" w:rsidRDefault="00BB0041" w:rsidP="00BB0041">
      <w:pPr>
        <w:jc w:val="center"/>
        <w:rPr>
          <w:rFonts w:ascii="Calibri Light" w:hAnsi="Calibri Light" w:cs="Calibri Light"/>
          <w:sz w:val="20"/>
          <w:szCs w:val="20"/>
        </w:rPr>
      </w:pPr>
      <w:r>
        <w:rPr>
          <w:rFonts w:ascii="Calibri Light" w:hAnsi="Calibri Light" w:cs="Calibri Light"/>
          <w:iCs/>
          <w:sz w:val="20"/>
          <w:szCs w:val="20"/>
        </w:rPr>
        <w:t>na:</w:t>
      </w:r>
    </w:p>
    <w:p w:rsidR="00BB0041" w:rsidRDefault="00BB0041" w:rsidP="00BB0041">
      <w:pPr>
        <w:numPr>
          <w:ilvl w:val="0"/>
          <w:numId w:val="3"/>
        </w:numPr>
        <w:tabs>
          <w:tab w:val="left" w:pos="142"/>
        </w:tabs>
        <w:spacing w:after="200" w:line="276" w:lineRule="auto"/>
        <w:jc w:val="both"/>
        <w:rPr>
          <w:rFonts w:ascii="Calibri Light" w:hAnsi="Calibri Light" w:cs="Calibri Light"/>
          <w:sz w:val="20"/>
          <w:szCs w:val="20"/>
        </w:rPr>
      </w:pPr>
      <w:r>
        <w:rPr>
          <w:rFonts w:ascii="Calibri Light" w:hAnsi="Calibri Light" w:cs="Calibri Light"/>
          <w:sz w:val="20"/>
          <w:szCs w:val="20"/>
        </w:rPr>
        <w:t xml:space="preserve">wynajem nieruchomości zabudowanych, stanowiących własność Miasta Kielce i będących </w:t>
      </w:r>
      <w:r>
        <w:rPr>
          <w:rFonts w:ascii="Calibri Light" w:hAnsi="Calibri Light" w:cs="Calibri Light"/>
          <w:sz w:val="20"/>
          <w:szCs w:val="20"/>
        </w:rPr>
        <w:br/>
        <w:t>w trwałym zarządzie Kieleckiego Parku Technologicznego – Strefa II – Centrum Technologiczne.</w:t>
      </w:r>
    </w:p>
    <w:p w:rsidR="00BB0041" w:rsidRDefault="00BB0041" w:rsidP="00BB0041">
      <w:pPr>
        <w:jc w:val="both"/>
        <w:rPr>
          <w:rFonts w:ascii="Calibri Light" w:hAnsi="Calibri Light" w:cs="Calibri Light"/>
          <w:sz w:val="20"/>
          <w:szCs w:val="20"/>
        </w:rPr>
      </w:pPr>
    </w:p>
    <w:p w:rsidR="00BB0041" w:rsidRDefault="00BB0041" w:rsidP="00BB0041">
      <w:pPr>
        <w:jc w:val="both"/>
        <w:rPr>
          <w:rFonts w:ascii="Calibri Light" w:hAnsi="Calibri Light" w:cs="Calibri Light"/>
          <w:sz w:val="20"/>
          <w:szCs w:val="20"/>
        </w:rPr>
      </w:pPr>
    </w:p>
    <w:p w:rsidR="00BB0041" w:rsidRDefault="00BB0041" w:rsidP="00BB0041">
      <w:pPr>
        <w:jc w:val="both"/>
        <w:rPr>
          <w:rFonts w:ascii="Calibri Light" w:hAnsi="Calibri Light" w:cs="Calibri Light"/>
          <w:sz w:val="20"/>
          <w:szCs w:val="20"/>
        </w:rPr>
      </w:pPr>
    </w:p>
    <w:p w:rsidR="00BB0041" w:rsidRDefault="00BB0041" w:rsidP="00BB0041">
      <w:pPr>
        <w:jc w:val="both"/>
        <w:rPr>
          <w:rFonts w:ascii="Calibri Light" w:hAnsi="Calibri Light" w:cs="Calibri Light"/>
          <w:sz w:val="20"/>
          <w:szCs w:val="20"/>
        </w:rPr>
      </w:pPr>
    </w:p>
    <w:p w:rsidR="00BB0041" w:rsidRDefault="00BB0041" w:rsidP="00BB0041">
      <w:pPr>
        <w:jc w:val="both"/>
        <w:rPr>
          <w:rFonts w:ascii="Calibri Light" w:hAnsi="Calibri Light" w:cs="Calibri Light"/>
          <w:sz w:val="20"/>
          <w:szCs w:val="20"/>
        </w:rPr>
      </w:pPr>
    </w:p>
    <w:p w:rsidR="00BB0041" w:rsidRDefault="00BB0041" w:rsidP="00BB0041">
      <w:pPr>
        <w:jc w:val="both"/>
        <w:rPr>
          <w:rFonts w:ascii="Calibri Light" w:hAnsi="Calibri Light" w:cs="Calibri Light"/>
          <w:sz w:val="20"/>
          <w:szCs w:val="20"/>
        </w:rPr>
      </w:pPr>
    </w:p>
    <w:p w:rsidR="00BB0041" w:rsidRDefault="00BB0041" w:rsidP="00BB0041">
      <w:pPr>
        <w:spacing w:after="0"/>
        <w:ind w:left="6372"/>
        <w:rPr>
          <w:rFonts w:ascii="Calibri Light" w:hAnsi="Calibri Light" w:cs="Calibri Light"/>
          <w:b/>
          <w:sz w:val="20"/>
          <w:szCs w:val="20"/>
        </w:rPr>
      </w:pPr>
      <w:r>
        <w:rPr>
          <w:rFonts w:ascii="Calibri Light" w:hAnsi="Calibri Light" w:cs="Calibri Light"/>
          <w:b/>
          <w:sz w:val="20"/>
          <w:szCs w:val="20"/>
        </w:rPr>
        <w:t xml:space="preserve">         Justyna Lichosik</w:t>
      </w:r>
    </w:p>
    <w:p w:rsidR="00BB0041" w:rsidRDefault="00BB0041" w:rsidP="00BB0041">
      <w:pPr>
        <w:tabs>
          <w:tab w:val="left" w:pos="6096"/>
        </w:tabs>
        <w:spacing w:after="0"/>
        <w:ind w:left="5529"/>
        <w:jc w:val="center"/>
        <w:rPr>
          <w:rFonts w:ascii="Calibri Light" w:hAnsi="Calibri Light" w:cs="Calibri Light"/>
          <w:sz w:val="20"/>
          <w:szCs w:val="20"/>
        </w:rPr>
      </w:pPr>
      <w:r>
        <w:rPr>
          <w:rFonts w:ascii="Calibri Light" w:hAnsi="Calibri Light" w:cs="Calibri Light"/>
          <w:sz w:val="20"/>
          <w:szCs w:val="20"/>
        </w:rPr>
        <w:t>Dyrektor Kieleckiego Parku              Technologicznego</w:t>
      </w:r>
    </w:p>
    <w:p w:rsidR="00BB0041" w:rsidRDefault="00BB0041" w:rsidP="00BB0041">
      <w:pPr>
        <w:spacing w:after="0"/>
        <w:ind w:left="6654" w:firstLine="142"/>
        <w:jc w:val="center"/>
        <w:rPr>
          <w:rFonts w:ascii="Calibri Light" w:hAnsi="Calibri Light" w:cs="Calibri Light"/>
          <w:sz w:val="20"/>
          <w:szCs w:val="20"/>
        </w:rPr>
      </w:pPr>
    </w:p>
    <w:p w:rsidR="00BB0041" w:rsidRPr="00BB0041" w:rsidRDefault="00BB0041" w:rsidP="00BB0041">
      <w:pPr>
        <w:rPr>
          <w:rFonts w:ascii="Calibri Light" w:hAnsi="Calibri Light" w:cs="Calibri Light"/>
          <w:sz w:val="20"/>
          <w:szCs w:val="20"/>
        </w:rPr>
      </w:pP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t>..............................................</w:t>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i/>
          <w:sz w:val="20"/>
          <w:szCs w:val="20"/>
        </w:rPr>
        <w:t xml:space="preserve">   /zatwierdziła/</w:t>
      </w:r>
      <w:r>
        <w:rPr>
          <w:rFonts w:ascii="Calibri Light" w:eastAsia="Times-Roman" w:hAnsi="Calibri Light" w:cs="Calibri Light"/>
          <w:b/>
          <w:sz w:val="20"/>
          <w:szCs w:val="20"/>
        </w:rPr>
        <w:t xml:space="preserve"> /podpisano w oryginale/</w:t>
      </w:r>
    </w:p>
    <w:p w:rsidR="00BB0041" w:rsidRDefault="00BB0041" w:rsidP="00BB0041">
      <w:pPr>
        <w:jc w:val="both"/>
        <w:rPr>
          <w:rFonts w:ascii="Calibri Light" w:hAnsi="Calibri Light" w:cs="Calibri Light"/>
          <w:sz w:val="20"/>
          <w:szCs w:val="20"/>
        </w:rPr>
      </w:pPr>
    </w:p>
    <w:p w:rsidR="00BB0041" w:rsidRDefault="00BB0041" w:rsidP="00BB0041">
      <w:pPr>
        <w:jc w:val="center"/>
        <w:rPr>
          <w:rFonts w:ascii="Calibri Light" w:hAnsi="Calibri Light" w:cs="Calibri Light"/>
          <w:sz w:val="20"/>
          <w:szCs w:val="20"/>
        </w:rPr>
      </w:pPr>
    </w:p>
    <w:p w:rsidR="00BB0041" w:rsidRDefault="00BB0041" w:rsidP="00BB0041">
      <w:pPr>
        <w:jc w:val="center"/>
        <w:rPr>
          <w:rFonts w:ascii="Calibri Light" w:hAnsi="Calibri Light" w:cs="Calibri Light"/>
          <w:sz w:val="20"/>
          <w:szCs w:val="20"/>
        </w:rPr>
      </w:pPr>
    </w:p>
    <w:p w:rsidR="00BB0041" w:rsidRDefault="00BB0041" w:rsidP="00BB0041">
      <w:pPr>
        <w:jc w:val="center"/>
        <w:rPr>
          <w:rFonts w:ascii="Calibri Light" w:hAnsi="Calibri Light" w:cs="Calibri Light"/>
          <w:sz w:val="20"/>
          <w:szCs w:val="20"/>
        </w:rPr>
      </w:pPr>
    </w:p>
    <w:p w:rsidR="00BB0041" w:rsidRDefault="00BB0041" w:rsidP="00BB0041">
      <w:pPr>
        <w:rPr>
          <w:rFonts w:ascii="Calibri Light" w:hAnsi="Calibri Light" w:cs="Calibri Light"/>
          <w:sz w:val="20"/>
          <w:szCs w:val="20"/>
        </w:rPr>
      </w:pPr>
    </w:p>
    <w:p w:rsidR="00BB0041" w:rsidRDefault="00BB0041" w:rsidP="00BB0041">
      <w:pPr>
        <w:rPr>
          <w:rFonts w:ascii="Calibri Light" w:hAnsi="Calibri Light" w:cs="Calibri Light"/>
          <w:sz w:val="20"/>
          <w:szCs w:val="20"/>
        </w:rPr>
      </w:pPr>
    </w:p>
    <w:p w:rsidR="00BB0041" w:rsidRDefault="00BB0041" w:rsidP="00BB0041">
      <w:pPr>
        <w:rPr>
          <w:rFonts w:ascii="Calibri Light" w:hAnsi="Calibri Light" w:cs="Calibri Light"/>
          <w:sz w:val="20"/>
          <w:szCs w:val="20"/>
        </w:rPr>
      </w:pPr>
    </w:p>
    <w:p w:rsidR="00BB0041" w:rsidRDefault="00BB0041" w:rsidP="00BB0041">
      <w:pPr>
        <w:rPr>
          <w:rFonts w:ascii="Calibri Light" w:hAnsi="Calibri Light" w:cs="Calibri Light"/>
          <w:sz w:val="20"/>
          <w:szCs w:val="20"/>
        </w:rPr>
      </w:pPr>
    </w:p>
    <w:p w:rsidR="00BB0041" w:rsidRDefault="00BB0041" w:rsidP="00BB0041">
      <w:pPr>
        <w:rPr>
          <w:rFonts w:ascii="Calibri Light" w:hAnsi="Calibri Light" w:cs="Calibri Light"/>
          <w:sz w:val="20"/>
          <w:szCs w:val="20"/>
        </w:rPr>
      </w:pPr>
    </w:p>
    <w:p w:rsidR="00BB0041" w:rsidRPr="002F34E0" w:rsidRDefault="00BB0041" w:rsidP="00BB0041">
      <w:pPr>
        <w:rPr>
          <w:rFonts w:ascii="Calibri Light" w:hAnsi="Calibri Light" w:cs="Calibri Light"/>
          <w:b/>
          <w:bCs/>
          <w:sz w:val="20"/>
          <w:szCs w:val="20"/>
        </w:rPr>
      </w:pPr>
      <w:r w:rsidRPr="002F34E0">
        <w:rPr>
          <w:rFonts w:ascii="Calibri Light" w:hAnsi="Calibri Light" w:cs="Calibri Light"/>
          <w:b/>
          <w:bCs/>
          <w:sz w:val="20"/>
          <w:szCs w:val="20"/>
        </w:rPr>
        <w:lastRenderedPageBreak/>
        <w:t xml:space="preserve">KIELCE, </w:t>
      </w:r>
      <w:r>
        <w:rPr>
          <w:rFonts w:ascii="Calibri Light" w:hAnsi="Calibri Light" w:cs="Calibri Light"/>
          <w:b/>
          <w:bCs/>
          <w:sz w:val="20"/>
          <w:szCs w:val="20"/>
        </w:rPr>
        <w:t>11.06</w:t>
      </w:r>
      <w:r w:rsidRPr="002F34E0">
        <w:rPr>
          <w:rFonts w:ascii="Calibri Light" w:hAnsi="Calibri Light" w:cs="Calibri Light"/>
          <w:b/>
          <w:bCs/>
          <w:sz w:val="20"/>
          <w:szCs w:val="20"/>
        </w:rPr>
        <w:t>.202</w:t>
      </w:r>
      <w:r>
        <w:rPr>
          <w:rFonts w:ascii="Calibri Light" w:hAnsi="Calibri Light" w:cs="Calibri Light"/>
          <w:b/>
          <w:bCs/>
          <w:sz w:val="20"/>
          <w:szCs w:val="20"/>
        </w:rPr>
        <w:t>4</w:t>
      </w:r>
      <w:r w:rsidRPr="002F34E0">
        <w:rPr>
          <w:rFonts w:ascii="Calibri Light" w:hAnsi="Calibri Light" w:cs="Calibri Light"/>
          <w:b/>
          <w:bCs/>
          <w:sz w:val="20"/>
          <w:szCs w:val="20"/>
        </w:rPr>
        <w:t xml:space="preserve"> roku</w:t>
      </w:r>
    </w:p>
    <w:p w:rsidR="00BB0041" w:rsidRDefault="00BB0041" w:rsidP="00BB0041">
      <w:pPr>
        <w:jc w:val="both"/>
        <w:rPr>
          <w:rFonts w:cstheme="minorHAnsi"/>
          <w:sz w:val="20"/>
          <w:szCs w:val="20"/>
        </w:rPr>
      </w:pPr>
      <w:r>
        <w:rPr>
          <w:rFonts w:ascii="Calibri Light" w:hAnsi="Calibri Light" w:cs="Calibri Light"/>
          <w:sz w:val="20"/>
          <w:szCs w:val="20"/>
        </w:rPr>
        <w:br/>
      </w:r>
      <w:r>
        <w:rPr>
          <w:rFonts w:cstheme="minorHAnsi"/>
          <w:sz w:val="20"/>
          <w:szCs w:val="20"/>
        </w:rPr>
        <w:t xml:space="preserve">Kielecki Park Technologiczny działając na podstawie Uchwały Nr XXXVI/654/2012 Rady Miasta Kielce z dnia </w:t>
      </w:r>
      <w:r>
        <w:rPr>
          <w:rFonts w:cstheme="minorHAnsi"/>
          <w:sz w:val="20"/>
          <w:szCs w:val="20"/>
        </w:rPr>
        <w:br/>
        <w:t xml:space="preserve">8 listopada 2012r. z </w:t>
      </w:r>
      <w:proofErr w:type="spellStart"/>
      <w:r>
        <w:rPr>
          <w:rFonts w:cstheme="minorHAnsi"/>
          <w:sz w:val="20"/>
          <w:szCs w:val="20"/>
        </w:rPr>
        <w:t>późn</w:t>
      </w:r>
      <w:proofErr w:type="spellEnd"/>
      <w:r>
        <w:rPr>
          <w:rFonts w:cstheme="minorHAnsi"/>
          <w:sz w:val="20"/>
          <w:szCs w:val="20"/>
        </w:rPr>
        <w:t>. zm. w sprawie określenia szczegółowych warunków korzystania z nieruchomości będących w trwałym zarządzie Kieleckiego Parku Technologicznego zaprasza do udziału w postępowaniu, PRZETARGU PUBLICZNYM, mającym na celu:</w:t>
      </w:r>
    </w:p>
    <w:p w:rsidR="00BB0041" w:rsidRDefault="00BB0041" w:rsidP="00BB0041">
      <w:pPr>
        <w:tabs>
          <w:tab w:val="left" w:pos="142"/>
        </w:tabs>
        <w:jc w:val="both"/>
        <w:rPr>
          <w:rFonts w:cstheme="minorHAnsi"/>
          <w:b/>
          <w:sz w:val="20"/>
          <w:szCs w:val="20"/>
        </w:rPr>
      </w:pPr>
      <w:r>
        <w:rPr>
          <w:rFonts w:cstheme="minorHAnsi"/>
          <w:sz w:val="20"/>
          <w:szCs w:val="20"/>
        </w:rPr>
        <w:t xml:space="preserve">• </w:t>
      </w:r>
      <w:r>
        <w:rPr>
          <w:rFonts w:cstheme="minorHAnsi"/>
          <w:b/>
          <w:sz w:val="20"/>
          <w:szCs w:val="20"/>
        </w:rPr>
        <w:t>wynajem nieruchomości zabudowanych, stanowiących własność Miasta Kielce i będących w trwałym zarządzie Kieleckiego Parku Technologicznego – Strefa II – Centrum Technologiczne</w:t>
      </w:r>
    </w:p>
    <w:p w:rsidR="00BB0041" w:rsidRDefault="00BB0041" w:rsidP="00BB0041">
      <w:pPr>
        <w:tabs>
          <w:tab w:val="left" w:pos="142"/>
        </w:tabs>
        <w:jc w:val="both"/>
        <w:rPr>
          <w:rFonts w:cstheme="minorHAnsi"/>
          <w:b/>
          <w:sz w:val="20"/>
          <w:szCs w:val="20"/>
        </w:rPr>
      </w:pPr>
      <w:r>
        <w:rPr>
          <w:rFonts w:cstheme="minorHAnsi"/>
          <w:b/>
          <w:sz w:val="20"/>
          <w:szCs w:val="20"/>
        </w:rPr>
        <w:t>Informacje ogólne</w:t>
      </w:r>
    </w:p>
    <w:p w:rsidR="00BB0041" w:rsidRDefault="00BB0041" w:rsidP="00BB0041">
      <w:pPr>
        <w:spacing w:after="0"/>
        <w:jc w:val="both"/>
        <w:rPr>
          <w:rFonts w:cs="Calibri"/>
          <w:b/>
          <w:bCs/>
          <w:sz w:val="20"/>
          <w:szCs w:val="20"/>
          <w:u w:val="single"/>
        </w:rPr>
      </w:pPr>
      <w:r w:rsidRPr="00A01233">
        <w:rPr>
          <w:rFonts w:cs="Calibri"/>
          <w:b/>
          <w:bCs/>
          <w:sz w:val="20"/>
          <w:szCs w:val="20"/>
          <w:u w:val="single"/>
        </w:rPr>
        <w:t>Przetargiem objęte są nieruchomości stanowiące własność Miasta Kielce i będące w trwałym zarządzie Kieleckiego Parku Technologicznego, położone w obrębie 0005 w Kielcach przy ul. Olszewskiego nr 21, tj.:</w:t>
      </w:r>
    </w:p>
    <w:p w:rsidR="00BB0041" w:rsidRDefault="00BB0041" w:rsidP="00BB0041">
      <w:pPr>
        <w:jc w:val="both"/>
        <w:rPr>
          <w:rFonts w:cs="Calibri"/>
          <w:b/>
          <w:bCs/>
          <w:sz w:val="20"/>
          <w:szCs w:val="20"/>
          <w:u w:val="single"/>
        </w:rPr>
      </w:pPr>
    </w:p>
    <w:p w:rsidR="00BB0041" w:rsidRPr="00A83CCC" w:rsidRDefault="00C21C1C" w:rsidP="00BB0041">
      <w:pPr>
        <w:spacing w:after="0"/>
        <w:jc w:val="both"/>
        <w:rPr>
          <w:rFonts w:cs="Calibri"/>
          <w:b/>
          <w:bCs/>
          <w:sz w:val="20"/>
          <w:szCs w:val="20"/>
        </w:rPr>
      </w:pPr>
      <w:r>
        <w:rPr>
          <w:rFonts w:cs="Calibri"/>
          <w:b/>
          <w:bCs/>
          <w:sz w:val="20"/>
          <w:szCs w:val="20"/>
        </w:rPr>
        <w:t>Moduł A</w:t>
      </w:r>
      <w:r w:rsidR="00BB0041" w:rsidRPr="00A83CCC">
        <w:rPr>
          <w:rFonts w:cs="Calibri"/>
          <w:b/>
          <w:bCs/>
          <w:sz w:val="20"/>
          <w:szCs w:val="20"/>
        </w:rPr>
        <w:t xml:space="preserve"> - </w:t>
      </w:r>
      <w:proofErr w:type="spellStart"/>
      <w:r w:rsidR="00BB0041" w:rsidRPr="00A83CCC">
        <w:rPr>
          <w:rFonts w:cs="Calibri"/>
          <w:b/>
          <w:bCs/>
          <w:sz w:val="20"/>
          <w:szCs w:val="20"/>
        </w:rPr>
        <w:t>laboratoryjno</w:t>
      </w:r>
      <w:proofErr w:type="spellEnd"/>
      <w:r w:rsidR="00BB0041" w:rsidRPr="00A83CCC">
        <w:rPr>
          <w:rFonts w:cs="Calibri"/>
          <w:b/>
          <w:bCs/>
          <w:sz w:val="20"/>
          <w:szCs w:val="20"/>
        </w:rPr>
        <w:t xml:space="preserve"> – produkcyjny o łącznej powierzchni 358,73 m2 zlokalizowany na parterze budynku laboratoryjno-produkcyjnego OULU o łącznej powierzchni użytkowej 4 245,62 m2, położonego w Kielcach przy ul. Olszewskiego 21.</w:t>
      </w:r>
    </w:p>
    <w:p w:rsidR="00BB0041" w:rsidRDefault="00BB0041" w:rsidP="00BB0041">
      <w:pPr>
        <w:jc w:val="both"/>
        <w:rPr>
          <w:rFonts w:cs="Calibri"/>
          <w:sz w:val="20"/>
          <w:szCs w:val="20"/>
        </w:rPr>
      </w:pPr>
    </w:p>
    <w:p w:rsidR="00BB0041" w:rsidRDefault="00BB0041" w:rsidP="00BB0041">
      <w:pPr>
        <w:jc w:val="both"/>
        <w:rPr>
          <w:rFonts w:cstheme="minorHAnsi"/>
          <w:sz w:val="20"/>
          <w:szCs w:val="20"/>
        </w:rPr>
      </w:pPr>
      <w:r>
        <w:rPr>
          <w:rFonts w:cstheme="minorHAnsi"/>
          <w:sz w:val="20"/>
          <w:szCs w:val="20"/>
        </w:rPr>
        <w:t>Opis szczegółowy pomieszczeń został zawarty w Załączniku Nr 1 do niniejszej Specyfikacji.</w:t>
      </w:r>
    </w:p>
    <w:p w:rsidR="00BB0041" w:rsidRDefault="00BB0041" w:rsidP="00BB0041">
      <w:pPr>
        <w:jc w:val="both"/>
        <w:rPr>
          <w:rFonts w:cstheme="minorHAnsi"/>
          <w:sz w:val="20"/>
          <w:szCs w:val="20"/>
        </w:rPr>
      </w:pPr>
      <w:r>
        <w:rPr>
          <w:rFonts w:cstheme="minorHAnsi"/>
          <w:sz w:val="20"/>
          <w:szCs w:val="20"/>
        </w:rPr>
        <w:t xml:space="preserve">Ww. nieruchomość stanowiąca przedmiot przetargu nie jest obciążona ograniczonymi prawami rzeczowymi i nie jest przedmiotem zobowiązań. Nieruchomość ta, może być wykorzystywana na cele biurowo - administracyjne, magazynowe, </w:t>
      </w:r>
      <w:proofErr w:type="spellStart"/>
      <w:r>
        <w:rPr>
          <w:rFonts w:cstheme="minorHAnsi"/>
          <w:sz w:val="20"/>
          <w:szCs w:val="20"/>
        </w:rPr>
        <w:t>produkcyjno</w:t>
      </w:r>
      <w:proofErr w:type="spellEnd"/>
      <w:r>
        <w:rPr>
          <w:rFonts w:cstheme="minorHAnsi"/>
          <w:sz w:val="20"/>
          <w:szCs w:val="20"/>
        </w:rPr>
        <w:t xml:space="preserve"> - usługowe i produkcyjne o profilach nieuciążliwych. Wyłącza się prowadzenie działalności gospodarczej w zakresie:</w:t>
      </w:r>
    </w:p>
    <w:p w:rsidR="00BB0041" w:rsidRDefault="00BB0041" w:rsidP="00BB0041">
      <w:pPr>
        <w:numPr>
          <w:ilvl w:val="0"/>
          <w:numId w:val="5"/>
        </w:numPr>
        <w:tabs>
          <w:tab w:val="right" w:pos="284"/>
          <w:tab w:val="num" w:pos="360"/>
          <w:tab w:val="left" w:pos="408"/>
        </w:tabs>
        <w:spacing w:after="0" w:line="276" w:lineRule="auto"/>
        <w:ind w:left="360"/>
        <w:jc w:val="both"/>
        <w:rPr>
          <w:rFonts w:cstheme="minorHAnsi"/>
          <w:sz w:val="20"/>
          <w:szCs w:val="20"/>
        </w:rPr>
      </w:pPr>
      <w:r>
        <w:rPr>
          <w:rFonts w:cstheme="minorHAnsi"/>
          <w:sz w:val="20"/>
          <w:szCs w:val="20"/>
        </w:rPr>
        <w:t xml:space="preserve"> usług związanych z odprowadzaniem i oczyszczaniem ścieków; osadów ze ścieków kanalizacyjnych, określonych w sekcji E w dziale 37 Polskiej Klasyfikacji Wyrobów i Usług ustanowionej rozporządzeniem Rady Ministrów z dnia 29 października 2008r. w sprawie Polskiej Klasyfikacji Wyrobów i Usług (PKWiU) (Dz.U. Nr 207, poz. 1293 i nr 220, poz. 1435 oraz z 2009r. Nr 33, poz. 256 i Nr 222, poz. 1753), zwanej dalej „PKWiU”,</w:t>
      </w:r>
    </w:p>
    <w:p w:rsidR="00BB0041" w:rsidRDefault="00BB0041" w:rsidP="00BB0041">
      <w:pPr>
        <w:numPr>
          <w:ilvl w:val="0"/>
          <w:numId w:val="5"/>
        </w:numPr>
        <w:tabs>
          <w:tab w:val="num" w:pos="284"/>
          <w:tab w:val="num" w:pos="426"/>
        </w:tabs>
        <w:spacing w:after="0" w:line="276" w:lineRule="auto"/>
        <w:ind w:left="360"/>
        <w:jc w:val="both"/>
        <w:rPr>
          <w:rFonts w:cstheme="minorHAnsi"/>
          <w:sz w:val="20"/>
          <w:szCs w:val="20"/>
        </w:rPr>
      </w:pPr>
      <w:r>
        <w:rPr>
          <w:rFonts w:cstheme="minorHAnsi"/>
          <w:sz w:val="20"/>
          <w:szCs w:val="20"/>
        </w:rPr>
        <w:t xml:space="preserve">usług związanych ze zbieraniem, przetwarzaniem i unieszkodliwianiem odpadów; odzysku surowców wtórnych, określonych w sekcji E w dziale 38 PKWiU, z wyjątkiem: </w:t>
      </w:r>
    </w:p>
    <w:p w:rsidR="00BB0041" w:rsidRDefault="00BB0041" w:rsidP="00BB0041">
      <w:pPr>
        <w:numPr>
          <w:ilvl w:val="1"/>
          <w:numId w:val="5"/>
        </w:numPr>
        <w:tabs>
          <w:tab w:val="right" w:pos="284"/>
          <w:tab w:val="num" w:pos="426"/>
        </w:tabs>
        <w:spacing w:after="0" w:line="276" w:lineRule="auto"/>
        <w:ind w:left="567" w:hanging="283"/>
        <w:jc w:val="both"/>
        <w:rPr>
          <w:rFonts w:cstheme="minorHAnsi"/>
          <w:sz w:val="20"/>
          <w:szCs w:val="20"/>
        </w:rPr>
      </w:pPr>
      <w:r>
        <w:rPr>
          <w:rFonts w:cstheme="minorHAnsi"/>
          <w:sz w:val="20"/>
          <w:szCs w:val="20"/>
        </w:rPr>
        <w:t xml:space="preserve">odpadów innych niż niebezpieczne nadających się do recyklingu określonych </w:t>
      </w:r>
      <w:r>
        <w:rPr>
          <w:rFonts w:cstheme="minorHAnsi"/>
          <w:sz w:val="20"/>
          <w:szCs w:val="20"/>
        </w:rPr>
        <w:br/>
        <w:t>w kategorii 38.11.5;</w:t>
      </w:r>
    </w:p>
    <w:p w:rsidR="00BB0041" w:rsidRDefault="00BB0041" w:rsidP="00BB0041">
      <w:pPr>
        <w:numPr>
          <w:ilvl w:val="1"/>
          <w:numId w:val="5"/>
        </w:numPr>
        <w:tabs>
          <w:tab w:val="right" w:pos="284"/>
          <w:tab w:val="num" w:pos="426"/>
        </w:tabs>
        <w:spacing w:after="0" w:line="276" w:lineRule="auto"/>
        <w:ind w:left="567" w:hanging="283"/>
        <w:jc w:val="both"/>
        <w:rPr>
          <w:rFonts w:cstheme="minorHAnsi"/>
          <w:sz w:val="20"/>
          <w:szCs w:val="20"/>
        </w:rPr>
      </w:pPr>
      <w:r>
        <w:rPr>
          <w:rFonts w:cstheme="minorHAnsi"/>
          <w:sz w:val="20"/>
          <w:szCs w:val="20"/>
        </w:rPr>
        <w:t xml:space="preserve">odpadów niebezpiecznych określonych w pozycjach: 38.12.22.0, 38.12.24.0, 38.12.25.0 oraz </w:t>
      </w:r>
      <w:r>
        <w:rPr>
          <w:rFonts w:cstheme="minorHAnsi"/>
          <w:sz w:val="20"/>
          <w:szCs w:val="20"/>
        </w:rPr>
        <w:br/>
        <w:t>w podkategorii 38.12.27;</w:t>
      </w:r>
    </w:p>
    <w:p w:rsidR="00BB0041" w:rsidRDefault="00BB0041" w:rsidP="00BB0041">
      <w:pPr>
        <w:numPr>
          <w:ilvl w:val="1"/>
          <w:numId w:val="5"/>
        </w:numPr>
        <w:tabs>
          <w:tab w:val="right" w:pos="284"/>
          <w:tab w:val="num" w:pos="426"/>
        </w:tabs>
        <w:spacing w:after="0" w:line="276" w:lineRule="auto"/>
        <w:ind w:left="567" w:hanging="283"/>
        <w:jc w:val="both"/>
        <w:rPr>
          <w:rFonts w:cstheme="minorHAnsi"/>
          <w:sz w:val="20"/>
          <w:szCs w:val="20"/>
        </w:rPr>
      </w:pPr>
      <w:r>
        <w:rPr>
          <w:rFonts w:cstheme="minorHAnsi"/>
          <w:sz w:val="20"/>
          <w:szCs w:val="20"/>
        </w:rPr>
        <w:t>odpadów rozpuszczalników organicznych określonych w kategorii 38.21.3;</w:t>
      </w:r>
    </w:p>
    <w:p w:rsidR="00BB0041" w:rsidRDefault="00BB0041" w:rsidP="00BB0041">
      <w:pPr>
        <w:numPr>
          <w:ilvl w:val="1"/>
          <w:numId w:val="5"/>
        </w:numPr>
        <w:tabs>
          <w:tab w:val="right" w:pos="284"/>
          <w:tab w:val="num" w:pos="426"/>
        </w:tabs>
        <w:spacing w:after="0" w:line="276" w:lineRule="auto"/>
        <w:ind w:left="567" w:hanging="283"/>
        <w:jc w:val="both"/>
        <w:rPr>
          <w:rFonts w:cstheme="minorHAnsi"/>
          <w:sz w:val="20"/>
          <w:szCs w:val="20"/>
        </w:rPr>
      </w:pPr>
      <w:r>
        <w:rPr>
          <w:rFonts w:cstheme="minorHAnsi"/>
          <w:sz w:val="20"/>
          <w:szCs w:val="20"/>
        </w:rPr>
        <w:t>usług w zakresie odzysku surowców; surowców wtórnych określonych w grupie 38.3;</w:t>
      </w:r>
    </w:p>
    <w:p w:rsidR="00BB0041" w:rsidRDefault="00BB0041" w:rsidP="00BB0041">
      <w:pPr>
        <w:numPr>
          <w:ilvl w:val="0"/>
          <w:numId w:val="5"/>
        </w:numPr>
        <w:tabs>
          <w:tab w:val="right" w:pos="284"/>
          <w:tab w:val="num" w:pos="360"/>
          <w:tab w:val="left" w:pos="408"/>
        </w:tabs>
        <w:spacing w:after="0" w:line="276" w:lineRule="auto"/>
        <w:ind w:left="360"/>
        <w:jc w:val="both"/>
        <w:rPr>
          <w:rFonts w:cstheme="minorHAnsi"/>
          <w:sz w:val="20"/>
          <w:szCs w:val="20"/>
        </w:rPr>
      </w:pPr>
      <w:r>
        <w:rPr>
          <w:rFonts w:cstheme="minorHAnsi"/>
          <w:sz w:val="20"/>
          <w:szCs w:val="20"/>
        </w:rPr>
        <w:t xml:space="preserve">usług związanych z rekultywacją i pozostałych usług związanych z gospodarką odpadami, określonych </w:t>
      </w:r>
    </w:p>
    <w:p w:rsidR="00BB0041" w:rsidRDefault="00BB0041" w:rsidP="00BB0041">
      <w:pPr>
        <w:tabs>
          <w:tab w:val="right" w:pos="284"/>
          <w:tab w:val="left" w:pos="408"/>
        </w:tabs>
        <w:spacing w:after="0"/>
        <w:ind w:left="360"/>
        <w:jc w:val="both"/>
        <w:rPr>
          <w:rFonts w:cstheme="minorHAnsi"/>
          <w:sz w:val="20"/>
          <w:szCs w:val="20"/>
        </w:rPr>
      </w:pPr>
      <w:r>
        <w:rPr>
          <w:rFonts w:cstheme="minorHAnsi"/>
          <w:sz w:val="20"/>
          <w:szCs w:val="20"/>
        </w:rPr>
        <w:t>w sekcji E w dziale 39 PKWiU,</w:t>
      </w:r>
    </w:p>
    <w:p w:rsidR="00BB0041" w:rsidRDefault="00BB0041" w:rsidP="00BB0041">
      <w:pPr>
        <w:numPr>
          <w:ilvl w:val="0"/>
          <w:numId w:val="5"/>
        </w:numPr>
        <w:tabs>
          <w:tab w:val="right" w:pos="284"/>
          <w:tab w:val="num" w:pos="360"/>
          <w:tab w:val="left" w:pos="408"/>
        </w:tabs>
        <w:spacing w:after="0" w:line="276" w:lineRule="auto"/>
        <w:ind w:left="360"/>
        <w:jc w:val="both"/>
        <w:rPr>
          <w:rFonts w:cstheme="minorHAnsi"/>
          <w:sz w:val="20"/>
          <w:szCs w:val="20"/>
        </w:rPr>
      </w:pPr>
      <w:r>
        <w:rPr>
          <w:rFonts w:cstheme="minorHAnsi"/>
          <w:sz w:val="20"/>
          <w:szCs w:val="20"/>
        </w:rPr>
        <w:t>obiektów budowlanych i robót budowlanych określonych w sekcji F „PKWiU”.</w:t>
      </w:r>
    </w:p>
    <w:p w:rsidR="00BB0041" w:rsidRDefault="00BB0041" w:rsidP="00BB0041">
      <w:pPr>
        <w:tabs>
          <w:tab w:val="right" w:pos="284"/>
          <w:tab w:val="left" w:pos="408"/>
        </w:tabs>
        <w:spacing w:after="0" w:line="276" w:lineRule="auto"/>
        <w:ind w:left="360"/>
        <w:jc w:val="both"/>
        <w:rPr>
          <w:rFonts w:cstheme="minorHAnsi"/>
          <w:sz w:val="20"/>
          <w:szCs w:val="20"/>
        </w:rPr>
      </w:pPr>
    </w:p>
    <w:p w:rsidR="00BB0041" w:rsidRPr="0036231E" w:rsidRDefault="00BB0041" w:rsidP="00BB0041">
      <w:pPr>
        <w:numPr>
          <w:ilvl w:val="0"/>
          <w:numId w:val="4"/>
        </w:numPr>
        <w:tabs>
          <w:tab w:val="left" w:pos="284"/>
        </w:tabs>
        <w:spacing w:after="200" w:line="276" w:lineRule="auto"/>
        <w:ind w:hanging="2520"/>
        <w:jc w:val="both"/>
        <w:rPr>
          <w:rFonts w:cstheme="minorHAnsi"/>
          <w:b/>
          <w:sz w:val="20"/>
          <w:szCs w:val="20"/>
        </w:rPr>
      </w:pPr>
      <w:r>
        <w:rPr>
          <w:rFonts w:cstheme="minorHAnsi"/>
          <w:b/>
          <w:sz w:val="20"/>
          <w:szCs w:val="20"/>
        </w:rPr>
        <w:t>Cena minimalna najmu w/w nieruchomości:</w:t>
      </w:r>
    </w:p>
    <w:p w:rsidR="00BB0041" w:rsidRDefault="00BB0041" w:rsidP="00BB0041">
      <w:pPr>
        <w:jc w:val="both"/>
        <w:rPr>
          <w:rFonts w:cstheme="minorHAnsi"/>
          <w:b/>
          <w:sz w:val="20"/>
          <w:szCs w:val="20"/>
        </w:rPr>
      </w:pPr>
      <w:r>
        <w:rPr>
          <w:rFonts w:cstheme="minorHAnsi"/>
          <w:b/>
          <w:sz w:val="20"/>
          <w:szCs w:val="20"/>
        </w:rPr>
        <w:t xml:space="preserve">Cena minimalna za 1 metr kwadratowy powierzchni budynku laboratoryjno-produkcyjnego OULU wynosi: </w:t>
      </w:r>
    </w:p>
    <w:p w:rsidR="00BB0041" w:rsidRPr="00521F78" w:rsidRDefault="00BB0041" w:rsidP="00BB0041">
      <w:pPr>
        <w:jc w:val="both"/>
        <w:rPr>
          <w:rFonts w:cstheme="minorHAnsi"/>
          <w:b/>
          <w:sz w:val="20"/>
          <w:szCs w:val="20"/>
        </w:rPr>
      </w:pPr>
      <w:r w:rsidRPr="00521F78">
        <w:rPr>
          <w:rFonts w:cstheme="minorHAnsi"/>
          <w:b/>
          <w:sz w:val="20"/>
          <w:szCs w:val="20"/>
        </w:rPr>
        <w:t>2</w:t>
      </w:r>
      <w:r>
        <w:rPr>
          <w:rFonts w:cstheme="minorHAnsi"/>
          <w:b/>
          <w:sz w:val="20"/>
          <w:szCs w:val="20"/>
        </w:rPr>
        <w:t>5,0</w:t>
      </w:r>
      <w:r w:rsidRPr="00521F78">
        <w:rPr>
          <w:rFonts w:cstheme="minorHAnsi"/>
          <w:b/>
          <w:sz w:val="20"/>
          <w:szCs w:val="20"/>
        </w:rPr>
        <w:t>0 zł netto za mie</w:t>
      </w:r>
      <w:r>
        <w:rPr>
          <w:rFonts w:cstheme="minorHAnsi"/>
          <w:b/>
          <w:sz w:val="20"/>
          <w:szCs w:val="20"/>
        </w:rPr>
        <w:t>siąc (słownie: dwadzieścia pięć złotych 0</w:t>
      </w:r>
      <w:r w:rsidRPr="00521F78">
        <w:rPr>
          <w:rFonts w:cstheme="minorHAnsi"/>
          <w:b/>
          <w:sz w:val="20"/>
          <w:szCs w:val="20"/>
        </w:rPr>
        <w:t>0/100 groszy netto).</w:t>
      </w:r>
    </w:p>
    <w:p w:rsidR="00BB0041" w:rsidRDefault="00BB0041" w:rsidP="00BB0041">
      <w:pPr>
        <w:jc w:val="both"/>
        <w:rPr>
          <w:rFonts w:cstheme="minorHAnsi"/>
          <w:sz w:val="20"/>
          <w:szCs w:val="20"/>
        </w:rPr>
      </w:pPr>
      <w:r>
        <w:rPr>
          <w:rFonts w:cstheme="minorHAnsi"/>
          <w:sz w:val="20"/>
          <w:szCs w:val="20"/>
        </w:rPr>
        <w:lastRenderedPageBreak/>
        <w:t>Cena netto wybranej oferty zostanie powiększona o podatek VAT w ustawowej wysokości.</w:t>
      </w:r>
    </w:p>
    <w:p w:rsidR="00BB0041" w:rsidRDefault="00BB0041" w:rsidP="00BB0041">
      <w:pPr>
        <w:jc w:val="both"/>
        <w:rPr>
          <w:rFonts w:cstheme="minorHAnsi"/>
          <w:sz w:val="20"/>
          <w:szCs w:val="20"/>
        </w:rPr>
      </w:pPr>
      <w:r>
        <w:rPr>
          <w:rFonts w:cstheme="minorHAnsi"/>
          <w:sz w:val="20"/>
          <w:szCs w:val="20"/>
        </w:rPr>
        <w:t>Niezależnie od czynszu Najemca będzie płacił Wynajmującemu opłaty dodatkowe, w tym opłaty za zużycie mediów określonych w umowie i Załączniku nr 7 i 7a do niniejszego ogłoszenia (regulamin może ulec zmianie).</w:t>
      </w:r>
    </w:p>
    <w:p w:rsidR="00BB0041" w:rsidRPr="0023494D" w:rsidRDefault="00BB0041" w:rsidP="00BB0041">
      <w:pPr>
        <w:jc w:val="both"/>
        <w:rPr>
          <w:rFonts w:cstheme="minorHAnsi"/>
          <w:sz w:val="20"/>
          <w:szCs w:val="20"/>
        </w:rPr>
      </w:pPr>
      <w:r>
        <w:rPr>
          <w:rFonts w:cstheme="minorHAnsi"/>
          <w:sz w:val="20"/>
          <w:szCs w:val="20"/>
        </w:rPr>
        <w:t>Oferent może przeprowadzić wizję lokalną hali. Wizja lokalna obiektu możliwa po uprzednim kontakcie telefonicznym z Panią Iwona Śmigielską – 41 278 72 12 i ustaleniu terminu.</w:t>
      </w:r>
    </w:p>
    <w:p w:rsidR="00BB0041" w:rsidRDefault="00BB0041" w:rsidP="00BB0041">
      <w:pPr>
        <w:numPr>
          <w:ilvl w:val="0"/>
          <w:numId w:val="4"/>
        </w:numPr>
        <w:tabs>
          <w:tab w:val="left" w:pos="284"/>
        </w:tabs>
        <w:spacing w:after="200" w:line="276" w:lineRule="auto"/>
        <w:ind w:hanging="2520"/>
        <w:jc w:val="both"/>
        <w:rPr>
          <w:rFonts w:cstheme="minorHAnsi"/>
          <w:b/>
          <w:sz w:val="20"/>
          <w:szCs w:val="20"/>
        </w:rPr>
      </w:pPr>
      <w:r>
        <w:rPr>
          <w:rFonts w:cstheme="minorHAnsi"/>
          <w:b/>
          <w:sz w:val="20"/>
          <w:szCs w:val="20"/>
        </w:rPr>
        <w:t>Preferencje</w:t>
      </w:r>
    </w:p>
    <w:p w:rsidR="00BB0041" w:rsidRDefault="00BB0041" w:rsidP="00BB0041">
      <w:pPr>
        <w:jc w:val="both"/>
        <w:rPr>
          <w:rFonts w:cstheme="minorHAnsi"/>
          <w:sz w:val="20"/>
          <w:szCs w:val="20"/>
        </w:rPr>
      </w:pPr>
      <w:r>
        <w:rPr>
          <w:rFonts w:cstheme="minorHAnsi"/>
          <w:sz w:val="20"/>
          <w:szCs w:val="20"/>
        </w:rPr>
        <w:t xml:space="preserve">Wynajmujący w ramach niniejszego postępowania zakłada przyznanie preferencyjnych stawek najmu dla podmiotów działających na rynku nie dłużej niż 5 lat i kwalifikujących się do objęcia pomocą de </w:t>
      </w:r>
      <w:proofErr w:type="spellStart"/>
      <w:r>
        <w:rPr>
          <w:rFonts w:cstheme="minorHAnsi"/>
          <w:sz w:val="20"/>
          <w:szCs w:val="20"/>
        </w:rPr>
        <w:t>minimis</w:t>
      </w:r>
      <w:proofErr w:type="spellEnd"/>
      <w:r>
        <w:rPr>
          <w:rFonts w:cstheme="minorHAnsi"/>
          <w:sz w:val="20"/>
          <w:szCs w:val="20"/>
        </w:rPr>
        <w:t xml:space="preserve"> zgodnie z Rozporządzeniem Ministra Rozwoju Regionalnego z dnia 16 grudnia 2014 r. r. w sprawie udzielania przez Polską Agencję Rozwoju Przedsiębiorczości pomocy finansowej na rozwój ośrodków innowacyjności w ramach Programu Operacyjnego Rozwój Polski Wschodniej 2007-2013 oraz </w:t>
      </w:r>
      <w:r w:rsidRPr="00A34AC8">
        <w:rPr>
          <w:rFonts w:cstheme="minorHAnsi"/>
          <w:sz w:val="20"/>
          <w:szCs w:val="20"/>
        </w:rPr>
        <w:t>ROZPORZĄDZENIE</w:t>
      </w:r>
      <w:r>
        <w:rPr>
          <w:rFonts w:cstheme="minorHAnsi"/>
          <w:sz w:val="20"/>
          <w:szCs w:val="20"/>
        </w:rPr>
        <w:t>M</w:t>
      </w:r>
      <w:r w:rsidRPr="00A34AC8">
        <w:rPr>
          <w:rFonts w:cstheme="minorHAnsi"/>
          <w:sz w:val="20"/>
          <w:szCs w:val="20"/>
        </w:rPr>
        <w:t xml:space="preserve"> KOMISJI (UE) 2023/2831z dnia 13 grudnia 2023 </w:t>
      </w:r>
      <w:proofErr w:type="spellStart"/>
      <w:r w:rsidRPr="00A34AC8">
        <w:rPr>
          <w:rFonts w:cstheme="minorHAnsi"/>
          <w:sz w:val="20"/>
          <w:szCs w:val="20"/>
        </w:rPr>
        <w:t>r.w</w:t>
      </w:r>
      <w:proofErr w:type="spellEnd"/>
      <w:r w:rsidRPr="00A34AC8">
        <w:rPr>
          <w:rFonts w:cstheme="minorHAnsi"/>
          <w:sz w:val="20"/>
          <w:szCs w:val="20"/>
        </w:rPr>
        <w:t xml:space="preserve"> sprawie stosowania art. 107 i 108 Traktatu o funkcjonowaniu Unii Europejskiej do pomocy de </w:t>
      </w:r>
      <w:proofErr w:type="spellStart"/>
      <w:r w:rsidRPr="00A34AC8">
        <w:rPr>
          <w:rFonts w:cstheme="minorHAnsi"/>
          <w:sz w:val="20"/>
          <w:szCs w:val="20"/>
        </w:rPr>
        <w:t>minimis</w:t>
      </w:r>
      <w:r>
        <w:rPr>
          <w:rFonts w:cstheme="minorHAnsi"/>
          <w:sz w:val="20"/>
          <w:szCs w:val="20"/>
        </w:rPr>
        <w:t>i</w:t>
      </w:r>
      <w:proofErr w:type="spellEnd"/>
      <w:r>
        <w:rPr>
          <w:rFonts w:cstheme="minorHAnsi"/>
          <w:sz w:val="20"/>
          <w:szCs w:val="20"/>
        </w:rPr>
        <w:t xml:space="preserve"> Rozporządzeniem Komisji nr651/2014 uznającym niektóre rodzaje pomocy za zgodne ze wspólnym rynkiem w zastosowaniu art. 107 i 108 Traktatu .</w:t>
      </w:r>
    </w:p>
    <w:p w:rsidR="00BB0041" w:rsidRDefault="00BB0041" w:rsidP="00BB0041">
      <w:pPr>
        <w:jc w:val="both"/>
        <w:rPr>
          <w:rFonts w:cstheme="minorHAnsi"/>
          <w:sz w:val="20"/>
          <w:szCs w:val="20"/>
        </w:rPr>
      </w:pPr>
      <w:r>
        <w:rPr>
          <w:rFonts w:cstheme="minorHAnsi"/>
          <w:sz w:val="20"/>
          <w:szCs w:val="20"/>
        </w:rPr>
        <w:t>Preferencje przyznawane będą według następującego wzoru:</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529"/>
      </w:tblGrid>
      <w:tr w:rsidR="00BB0041" w:rsidRPr="00521F78" w:rsidTr="008C54DC">
        <w:tc>
          <w:tcPr>
            <w:tcW w:w="3402" w:type="dxa"/>
            <w:tcBorders>
              <w:top w:val="single" w:sz="4" w:space="0" w:color="auto"/>
              <w:left w:val="single" w:sz="4" w:space="0" w:color="auto"/>
              <w:bottom w:val="single" w:sz="4" w:space="0" w:color="auto"/>
              <w:right w:val="single" w:sz="4" w:space="0" w:color="auto"/>
            </w:tcBorders>
            <w:hideMark/>
          </w:tcPr>
          <w:p w:rsidR="00BB0041" w:rsidRPr="00521F78" w:rsidRDefault="00BB0041" w:rsidP="008C54DC">
            <w:pPr>
              <w:jc w:val="both"/>
              <w:rPr>
                <w:rFonts w:cstheme="minorHAnsi"/>
                <w:sz w:val="20"/>
                <w:szCs w:val="20"/>
              </w:rPr>
            </w:pPr>
            <w:r w:rsidRPr="00521F78">
              <w:rPr>
                <w:rFonts w:cstheme="minorHAnsi"/>
                <w:sz w:val="20"/>
                <w:szCs w:val="20"/>
              </w:rPr>
              <w:t>Okres funkcjonowania w CT</w:t>
            </w:r>
          </w:p>
        </w:tc>
        <w:tc>
          <w:tcPr>
            <w:tcW w:w="5529" w:type="dxa"/>
            <w:tcBorders>
              <w:top w:val="single" w:sz="4" w:space="0" w:color="auto"/>
              <w:left w:val="single" w:sz="4" w:space="0" w:color="auto"/>
              <w:bottom w:val="single" w:sz="4" w:space="0" w:color="auto"/>
              <w:right w:val="single" w:sz="4" w:space="0" w:color="auto"/>
            </w:tcBorders>
            <w:hideMark/>
          </w:tcPr>
          <w:p w:rsidR="00BB0041" w:rsidRPr="00521F78" w:rsidRDefault="00BB0041" w:rsidP="008C54DC">
            <w:pPr>
              <w:spacing w:after="0"/>
              <w:rPr>
                <w:rFonts w:cstheme="minorHAnsi"/>
                <w:sz w:val="20"/>
                <w:szCs w:val="20"/>
              </w:rPr>
            </w:pPr>
            <w:r w:rsidRPr="00521F78">
              <w:rPr>
                <w:rFonts w:cstheme="minorHAnsi"/>
                <w:sz w:val="20"/>
                <w:szCs w:val="20"/>
              </w:rPr>
              <w:t>Procent stawki zaproponowanej w przetargu płacony przez firmę w kolejnych latach</w:t>
            </w:r>
          </w:p>
        </w:tc>
      </w:tr>
      <w:tr w:rsidR="00BB0041" w:rsidRPr="00521F78" w:rsidTr="008C54DC">
        <w:tc>
          <w:tcPr>
            <w:tcW w:w="3402" w:type="dxa"/>
            <w:tcBorders>
              <w:top w:val="single" w:sz="4" w:space="0" w:color="auto"/>
              <w:left w:val="single" w:sz="4" w:space="0" w:color="auto"/>
              <w:bottom w:val="single" w:sz="4" w:space="0" w:color="auto"/>
              <w:right w:val="single" w:sz="4" w:space="0" w:color="auto"/>
            </w:tcBorders>
            <w:hideMark/>
          </w:tcPr>
          <w:p w:rsidR="00BB0041" w:rsidRPr="00521F78" w:rsidRDefault="00BB0041" w:rsidP="008C54DC">
            <w:pPr>
              <w:jc w:val="both"/>
              <w:rPr>
                <w:rFonts w:cstheme="minorHAnsi"/>
                <w:sz w:val="20"/>
                <w:szCs w:val="20"/>
              </w:rPr>
            </w:pPr>
            <w:r w:rsidRPr="00521F78">
              <w:rPr>
                <w:rFonts w:cstheme="minorHAnsi"/>
                <w:sz w:val="20"/>
                <w:szCs w:val="20"/>
              </w:rPr>
              <w:t>1 rok</w:t>
            </w:r>
          </w:p>
        </w:tc>
        <w:tc>
          <w:tcPr>
            <w:tcW w:w="5529" w:type="dxa"/>
            <w:tcBorders>
              <w:top w:val="single" w:sz="4" w:space="0" w:color="auto"/>
              <w:left w:val="single" w:sz="4" w:space="0" w:color="auto"/>
              <w:bottom w:val="single" w:sz="4" w:space="0" w:color="auto"/>
              <w:right w:val="single" w:sz="4" w:space="0" w:color="auto"/>
            </w:tcBorders>
            <w:hideMark/>
          </w:tcPr>
          <w:p w:rsidR="00BB0041" w:rsidRPr="00521F78" w:rsidRDefault="00BB0041" w:rsidP="008C54DC">
            <w:pPr>
              <w:rPr>
                <w:rFonts w:cstheme="minorHAnsi"/>
                <w:sz w:val="20"/>
                <w:szCs w:val="20"/>
              </w:rPr>
            </w:pPr>
            <w:r w:rsidRPr="00521F78">
              <w:rPr>
                <w:rFonts w:cstheme="minorHAnsi"/>
                <w:sz w:val="20"/>
                <w:szCs w:val="20"/>
              </w:rPr>
              <w:t>50 % stawki</w:t>
            </w:r>
          </w:p>
        </w:tc>
      </w:tr>
      <w:tr w:rsidR="00BB0041" w:rsidRPr="00521F78" w:rsidTr="008C54DC">
        <w:tc>
          <w:tcPr>
            <w:tcW w:w="3402" w:type="dxa"/>
            <w:tcBorders>
              <w:top w:val="single" w:sz="4" w:space="0" w:color="auto"/>
              <w:left w:val="single" w:sz="4" w:space="0" w:color="auto"/>
              <w:bottom w:val="single" w:sz="4" w:space="0" w:color="auto"/>
              <w:right w:val="single" w:sz="4" w:space="0" w:color="auto"/>
            </w:tcBorders>
            <w:hideMark/>
          </w:tcPr>
          <w:p w:rsidR="00BB0041" w:rsidRPr="00521F78" w:rsidRDefault="00BB0041" w:rsidP="008C54DC">
            <w:pPr>
              <w:jc w:val="both"/>
              <w:rPr>
                <w:rFonts w:cstheme="minorHAnsi"/>
                <w:sz w:val="20"/>
                <w:szCs w:val="20"/>
              </w:rPr>
            </w:pPr>
            <w:r w:rsidRPr="00521F78">
              <w:rPr>
                <w:rFonts w:cstheme="minorHAnsi"/>
                <w:sz w:val="20"/>
                <w:szCs w:val="20"/>
              </w:rPr>
              <w:t>2 rok</w:t>
            </w:r>
          </w:p>
        </w:tc>
        <w:tc>
          <w:tcPr>
            <w:tcW w:w="5529" w:type="dxa"/>
            <w:tcBorders>
              <w:top w:val="single" w:sz="4" w:space="0" w:color="auto"/>
              <w:left w:val="single" w:sz="4" w:space="0" w:color="auto"/>
              <w:bottom w:val="single" w:sz="4" w:space="0" w:color="auto"/>
              <w:right w:val="single" w:sz="4" w:space="0" w:color="auto"/>
            </w:tcBorders>
            <w:hideMark/>
          </w:tcPr>
          <w:p w:rsidR="00BB0041" w:rsidRPr="00521F78" w:rsidRDefault="00BB0041" w:rsidP="008C54DC">
            <w:pPr>
              <w:spacing w:after="0"/>
              <w:jc w:val="both"/>
              <w:rPr>
                <w:rFonts w:cstheme="minorHAnsi"/>
                <w:sz w:val="20"/>
                <w:szCs w:val="20"/>
              </w:rPr>
            </w:pPr>
            <w:r w:rsidRPr="00521F78">
              <w:rPr>
                <w:rFonts w:cstheme="minorHAnsi"/>
                <w:sz w:val="20"/>
                <w:szCs w:val="20"/>
              </w:rPr>
              <w:t>70 % stawki</w:t>
            </w:r>
          </w:p>
        </w:tc>
      </w:tr>
      <w:tr w:rsidR="00BB0041" w:rsidRPr="00521F78" w:rsidTr="008C54DC">
        <w:tc>
          <w:tcPr>
            <w:tcW w:w="3402" w:type="dxa"/>
            <w:tcBorders>
              <w:top w:val="single" w:sz="4" w:space="0" w:color="auto"/>
              <w:left w:val="single" w:sz="4" w:space="0" w:color="auto"/>
              <w:bottom w:val="single" w:sz="4" w:space="0" w:color="auto"/>
              <w:right w:val="single" w:sz="4" w:space="0" w:color="auto"/>
            </w:tcBorders>
          </w:tcPr>
          <w:p w:rsidR="00BB0041" w:rsidRPr="00521F78" w:rsidRDefault="00BB0041" w:rsidP="008C54DC">
            <w:pPr>
              <w:jc w:val="both"/>
              <w:rPr>
                <w:rFonts w:cstheme="minorHAnsi"/>
                <w:sz w:val="20"/>
                <w:szCs w:val="20"/>
              </w:rPr>
            </w:pPr>
            <w:r w:rsidRPr="00521F78">
              <w:rPr>
                <w:rFonts w:cstheme="minorHAnsi"/>
                <w:sz w:val="20"/>
                <w:szCs w:val="20"/>
              </w:rPr>
              <w:t>3 rok</w:t>
            </w:r>
          </w:p>
        </w:tc>
        <w:tc>
          <w:tcPr>
            <w:tcW w:w="5529" w:type="dxa"/>
            <w:tcBorders>
              <w:top w:val="single" w:sz="4" w:space="0" w:color="auto"/>
              <w:left w:val="single" w:sz="4" w:space="0" w:color="auto"/>
              <w:bottom w:val="single" w:sz="4" w:space="0" w:color="auto"/>
              <w:right w:val="single" w:sz="4" w:space="0" w:color="auto"/>
            </w:tcBorders>
          </w:tcPr>
          <w:p w:rsidR="00BB0041" w:rsidRPr="00521F78" w:rsidRDefault="00BB0041" w:rsidP="008C54DC">
            <w:pPr>
              <w:spacing w:after="0"/>
              <w:jc w:val="both"/>
              <w:rPr>
                <w:rFonts w:cstheme="minorHAnsi"/>
                <w:sz w:val="20"/>
                <w:szCs w:val="20"/>
              </w:rPr>
            </w:pPr>
            <w:r w:rsidRPr="00521F78">
              <w:rPr>
                <w:rFonts w:cstheme="minorHAnsi"/>
                <w:sz w:val="20"/>
                <w:szCs w:val="20"/>
              </w:rPr>
              <w:t>100 % stawki</w:t>
            </w:r>
          </w:p>
        </w:tc>
      </w:tr>
    </w:tbl>
    <w:p w:rsidR="00BB0041" w:rsidRDefault="00BB0041" w:rsidP="00BB0041">
      <w:pPr>
        <w:spacing w:after="0"/>
        <w:jc w:val="both"/>
        <w:rPr>
          <w:rFonts w:cstheme="minorHAnsi"/>
          <w:sz w:val="20"/>
          <w:szCs w:val="20"/>
        </w:rPr>
      </w:pPr>
    </w:p>
    <w:p w:rsidR="00BB0041" w:rsidRDefault="00BB0041" w:rsidP="00BB0041">
      <w:pPr>
        <w:spacing w:after="0"/>
        <w:jc w:val="both"/>
        <w:rPr>
          <w:rFonts w:cstheme="minorHAnsi"/>
          <w:sz w:val="20"/>
          <w:szCs w:val="20"/>
        </w:rPr>
      </w:pPr>
      <w:r>
        <w:rPr>
          <w:rFonts w:cstheme="minorHAnsi"/>
          <w:sz w:val="20"/>
          <w:szCs w:val="20"/>
        </w:rPr>
        <w:t>Preferencyjne stawki najmu lokali w CT przyznawane są przedsiębiorcom, którzy spełniają następujące kryteria:</w:t>
      </w:r>
    </w:p>
    <w:p w:rsidR="00BB0041" w:rsidRDefault="00BB0041" w:rsidP="00BB0041">
      <w:pPr>
        <w:numPr>
          <w:ilvl w:val="0"/>
          <w:numId w:val="6"/>
        </w:numPr>
        <w:spacing w:after="0" w:line="276" w:lineRule="auto"/>
        <w:ind w:left="1134"/>
        <w:jc w:val="both"/>
        <w:rPr>
          <w:rFonts w:cstheme="minorHAnsi"/>
          <w:sz w:val="20"/>
          <w:szCs w:val="20"/>
        </w:rPr>
      </w:pPr>
      <w:r>
        <w:rPr>
          <w:rFonts w:cstheme="minorHAnsi"/>
          <w:sz w:val="20"/>
          <w:szCs w:val="20"/>
        </w:rPr>
        <w:t xml:space="preserve">działają na rynku nie dłużej niż 5 lat (data rejestracji, bądź pierwszego rozliczenia </w:t>
      </w:r>
      <w:r>
        <w:rPr>
          <w:rFonts w:cstheme="minorHAnsi"/>
          <w:sz w:val="20"/>
          <w:szCs w:val="20"/>
        </w:rPr>
        <w:br/>
        <w:t>z Urzędem Skarbowym),</w:t>
      </w:r>
    </w:p>
    <w:p w:rsidR="00BB0041" w:rsidRDefault="00BB0041" w:rsidP="00BB0041">
      <w:pPr>
        <w:numPr>
          <w:ilvl w:val="0"/>
          <w:numId w:val="6"/>
        </w:numPr>
        <w:spacing w:after="0" w:line="276" w:lineRule="auto"/>
        <w:ind w:left="1134"/>
        <w:jc w:val="both"/>
        <w:rPr>
          <w:rFonts w:cstheme="minorHAnsi"/>
          <w:sz w:val="20"/>
          <w:szCs w:val="20"/>
        </w:rPr>
      </w:pPr>
      <w:r>
        <w:rPr>
          <w:rFonts w:cstheme="minorHAnsi"/>
          <w:sz w:val="20"/>
          <w:szCs w:val="20"/>
        </w:rPr>
        <w:t>posiadają zarejestrowaną siedzibę/filię/oddział firmy na terytorium RP,</w:t>
      </w:r>
    </w:p>
    <w:p w:rsidR="00BB0041" w:rsidRDefault="00BB0041" w:rsidP="00BB0041">
      <w:pPr>
        <w:numPr>
          <w:ilvl w:val="0"/>
          <w:numId w:val="6"/>
        </w:numPr>
        <w:spacing w:after="0" w:line="276" w:lineRule="auto"/>
        <w:ind w:left="1134"/>
        <w:jc w:val="both"/>
        <w:rPr>
          <w:rFonts w:cstheme="minorHAnsi"/>
          <w:sz w:val="20"/>
          <w:szCs w:val="20"/>
        </w:rPr>
      </w:pPr>
      <w:r>
        <w:rPr>
          <w:rFonts w:cstheme="minorHAnsi"/>
          <w:sz w:val="20"/>
          <w:szCs w:val="20"/>
        </w:rPr>
        <w:t xml:space="preserve">nie są w stanie upadłości lub likwidacji, </w:t>
      </w:r>
    </w:p>
    <w:p w:rsidR="00BB0041" w:rsidRDefault="00BB0041" w:rsidP="00BB0041">
      <w:pPr>
        <w:numPr>
          <w:ilvl w:val="0"/>
          <w:numId w:val="6"/>
        </w:numPr>
        <w:spacing w:after="0" w:line="276" w:lineRule="auto"/>
        <w:ind w:left="1134"/>
        <w:jc w:val="both"/>
        <w:rPr>
          <w:rFonts w:cstheme="minorHAnsi"/>
          <w:sz w:val="20"/>
          <w:szCs w:val="20"/>
        </w:rPr>
      </w:pPr>
      <w:r>
        <w:rPr>
          <w:rFonts w:cstheme="minorHAnsi"/>
          <w:sz w:val="20"/>
          <w:szCs w:val="20"/>
        </w:rPr>
        <w:t xml:space="preserve">nie przekroczyli dopuszczalnej pomocy publicznej wg zasady de </w:t>
      </w:r>
      <w:proofErr w:type="spellStart"/>
      <w:r>
        <w:rPr>
          <w:rFonts w:cstheme="minorHAnsi"/>
          <w:sz w:val="20"/>
          <w:szCs w:val="20"/>
        </w:rPr>
        <w:t>minimis</w:t>
      </w:r>
      <w:proofErr w:type="spellEnd"/>
      <w:r>
        <w:rPr>
          <w:rFonts w:cstheme="minorHAnsi"/>
          <w:sz w:val="20"/>
          <w:szCs w:val="20"/>
        </w:rPr>
        <w:t xml:space="preserve"> w danym roku kalendarzowym oraz w ciągu dwóch poprzedzających lat kalendarzowych,</w:t>
      </w:r>
    </w:p>
    <w:p w:rsidR="00BB0041" w:rsidRDefault="00BB0041" w:rsidP="00BB0041">
      <w:pPr>
        <w:numPr>
          <w:ilvl w:val="0"/>
          <w:numId w:val="6"/>
        </w:numPr>
        <w:spacing w:after="0" w:line="276" w:lineRule="auto"/>
        <w:ind w:left="1134"/>
        <w:jc w:val="both"/>
        <w:rPr>
          <w:rFonts w:cstheme="minorHAnsi"/>
          <w:sz w:val="20"/>
          <w:szCs w:val="20"/>
        </w:rPr>
      </w:pPr>
      <w:r>
        <w:rPr>
          <w:rFonts w:cstheme="minorHAnsi"/>
          <w:sz w:val="20"/>
          <w:szCs w:val="20"/>
        </w:rPr>
        <w:t>ich działalność nie jest wykluczona ze wsparcia zgodnie z Rozporządzeniem Ministra Rozwoju Regionalnego z dnia 16 grudnia 2014 r. w sprawie udzielania przez Polską Agencję Rozwoju Przedsiębiorczości pomocy finansowej na rozwój ośrodków innowacyjności w ramach Programu Operacyjnego Rozwój Polski Wschodniej 2007-2013.</w:t>
      </w:r>
    </w:p>
    <w:p w:rsidR="00BB0041" w:rsidRDefault="00BB0041" w:rsidP="00BB0041">
      <w:pPr>
        <w:spacing w:after="0"/>
        <w:ind w:left="1134"/>
        <w:jc w:val="both"/>
        <w:rPr>
          <w:rFonts w:cstheme="minorHAnsi"/>
          <w:sz w:val="20"/>
          <w:szCs w:val="20"/>
        </w:rPr>
      </w:pPr>
    </w:p>
    <w:p w:rsidR="00BB0041" w:rsidRDefault="00BB0041" w:rsidP="00BB0041">
      <w:pPr>
        <w:spacing w:after="0"/>
        <w:jc w:val="both"/>
        <w:rPr>
          <w:rFonts w:cstheme="minorHAnsi"/>
          <w:sz w:val="20"/>
          <w:szCs w:val="20"/>
        </w:rPr>
      </w:pPr>
      <w:r>
        <w:rPr>
          <w:rFonts w:cstheme="minorHAnsi"/>
          <w:sz w:val="20"/>
          <w:szCs w:val="20"/>
        </w:rPr>
        <w:t xml:space="preserve">Przedsiębiorcy ubiegający się o przyznanie pomocy publicznej i/lub pomoc de </w:t>
      </w:r>
      <w:proofErr w:type="spellStart"/>
      <w:r>
        <w:rPr>
          <w:rFonts w:cstheme="minorHAnsi"/>
          <w:sz w:val="20"/>
          <w:szCs w:val="20"/>
        </w:rPr>
        <w:t>minimis</w:t>
      </w:r>
      <w:proofErr w:type="spellEnd"/>
      <w:r>
        <w:rPr>
          <w:rFonts w:cstheme="minorHAnsi"/>
          <w:sz w:val="20"/>
          <w:szCs w:val="20"/>
        </w:rPr>
        <w:t xml:space="preserve"> zobowiązani są do przedstawienia </w:t>
      </w:r>
      <w:r>
        <w:rPr>
          <w:rFonts w:cstheme="minorHAnsi"/>
          <w:b/>
          <w:sz w:val="20"/>
          <w:szCs w:val="20"/>
          <w:u w:val="single"/>
        </w:rPr>
        <w:t>przed podpisaniem umowy</w:t>
      </w:r>
      <w:r>
        <w:rPr>
          <w:rFonts w:cstheme="minorHAnsi"/>
          <w:sz w:val="20"/>
          <w:szCs w:val="20"/>
        </w:rPr>
        <w:t xml:space="preserve"> najmu następujących dokumentów:</w:t>
      </w:r>
    </w:p>
    <w:p w:rsidR="00BB0041" w:rsidRDefault="00BB0041" w:rsidP="00BB0041">
      <w:pPr>
        <w:numPr>
          <w:ilvl w:val="0"/>
          <w:numId w:val="2"/>
        </w:numPr>
        <w:spacing w:after="0" w:line="276" w:lineRule="auto"/>
        <w:ind w:left="1134"/>
        <w:jc w:val="both"/>
        <w:rPr>
          <w:rFonts w:cstheme="minorHAnsi"/>
          <w:i/>
          <w:iCs/>
          <w:strike/>
          <w:sz w:val="20"/>
          <w:szCs w:val="20"/>
        </w:rPr>
      </w:pPr>
      <w:r>
        <w:rPr>
          <w:rFonts w:cstheme="minorHAnsi"/>
          <w:sz w:val="20"/>
          <w:szCs w:val="20"/>
        </w:rPr>
        <w:t>Kwestionariusz badania statusu MSP,</w:t>
      </w:r>
      <w:r>
        <w:rPr>
          <w:rFonts w:cstheme="minorHAnsi"/>
          <w:i/>
          <w:iCs/>
          <w:sz w:val="20"/>
          <w:szCs w:val="20"/>
        </w:rPr>
        <w:t xml:space="preserve"> </w:t>
      </w:r>
    </w:p>
    <w:p w:rsidR="00BB0041" w:rsidRDefault="00BB0041" w:rsidP="00BB0041">
      <w:pPr>
        <w:numPr>
          <w:ilvl w:val="0"/>
          <w:numId w:val="2"/>
        </w:numPr>
        <w:spacing w:after="0" w:line="276" w:lineRule="auto"/>
        <w:ind w:left="1134"/>
        <w:jc w:val="both"/>
        <w:rPr>
          <w:rFonts w:cstheme="minorHAnsi"/>
          <w:i/>
          <w:iCs/>
          <w:strike/>
          <w:sz w:val="20"/>
          <w:szCs w:val="20"/>
        </w:rPr>
      </w:pPr>
      <w:r>
        <w:rPr>
          <w:rFonts w:cstheme="minorHAnsi"/>
          <w:sz w:val="20"/>
          <w:szCs w:val="20"/>
        </w:rPr>
        <w:t xml:space="preserve">Kserokopie zaświadczeń o pomocy de </w:t>
      </w:r>
      <w:proofErr w:type="spellStart"/>
      <w:r>
        <w:rPr>
          <w:rFonts w:cstheme="minorHAnsi"/>
          <w:sz w:val="20"/>
          <w:szCs w:val="20"/>
        </w:rPr>
        <w:t>minimis</w:t>
      </w:r>
      <w:proofErr w:type="spellEnd"/>
      <w:r>
        <w:rPr>
          <w:rFonts w:cstheme="minorHAnsi"/>
          <w:i/>
          <w:iCs/>
          <w:sz w:val="20"/>
          <w:szCs w:val="20"/>
        </w:rPr>
        <w:t xml:space="preserve"> – jeśli pomoc została udzielona </w:t>
      </w:r>
      <w:r>
        <w:rPr>
          <w:rFonts w:cstheme="minorHAnsi"/>
          <w:i/>
          <w:iCs/>
          <w:sz w:val="20"/>
          <w:szCs w:val="20"/>
        </w:rPr>
        <w:br/>
        <w:t xml:space="preserve">w przeciągu ostatnich trzech lat, </w:t>
      </w:r>
      <w:r>
        <w:rPr>
          <w:rFonts w:cstheme="minorHAnsi"/>
          <w:iCs/>
          <w:sz w:val="20"/>
          <w:szCs w:val="20"/>
        </w:rPr>
        <w:t>poświadczone za zgodność z oryginałem,</w:t>
      </w:r>
    </w:p>
    <w:p w:rsidR="00BB0041" w:rsidRDefault="00BB0041" w:rsidP="00BB0041">
      <w:pPr>
        <w:numPr>
          <w:ilvl w:val="0"/>
          <w:numId w:val="2"/>
        </w:numPr>
        <w:spacing w:after="0" w:line="276" w:lineRule="auto"/>
        <w:ind w:left="1134"/>
        <w:jc w:val="both"/>
        <w:rPr>
          <w:rFonts w:cstheme="minorHAnsi"/>
          <w:i/>
          <w:iCs/>
          <w:strike/>
          <w:sz w:val="20"/>
          <w:szCs w:val="20"/>
        </w:rPr>
      </w:pPr>
      <w:r>
        <w:rPr>
          <w:rFonts w:cstheme="minorHAnsi"/>
          <w:sz w:val="20"/>
          <w:szCs w:val="20"/>
        </w:rPr>
        <w:t xml:space="preserve">Formularz informacji przedstawianych przy ubieganiu się o pomoc de </w:t>
      </w:r>
      <w:proofErr w:type="spellStart"/>
      <w:r>
        <w:rPr>
          <w:rFonts w:cstheme="minorHAnsi"/>
          <w:sz w:val="20"/>
          <w:szCs w:val="20"/>
        </w:rPr>
        <w:t>minimis</w:t>
      </w:r>
      <w:proofErr w:type="spellEnd"/>
      <w:r>
        <w:rPr>
          <w:rFonts w:cstheme="minorHAnsi"/>
          <w:sz w:val="20"/>
          <w:szCs w:val="20"/>
        </w:rPr>
        <w:t>,</w:t>
      </w:r>
      <w:r>
        <w:rPr>
          <w:rFonts w:cstheme="minorHAnsi"/>
          <w:i/>
          <w:iCs/>
          <w:sz w:val="20"/>
          <w:szCs w:val="20"/>
        </w:rPr>
        <w:t xml:space="preserve"> </w:t>
      </w:r>
    </w:p>
    <w:p w:rsidR="00BB0041" w:rsidRDefault="00BB0041" w:rsidP="00BB0041">
      <w:pPr>
        <w:numPr>
          <w:ilvl w:val="0"/>
          <w:numId w:val="2"/>
        </w:numPr>
        <w:spacing w:after="0" w:line="276" w:lineRule="auto"/>
        <w:ind w:left="1134"/>
        <w:jc w:val="both"/>
        <w:rPr>
          <w:rFonts w:cstheme="minorHAnsi"/>
          <w:i/>
          <w:iCs/>
          <w:strike/>
          <w:sz w:val="20"/>
          <w:szCs w:val="20"/>
        </w:rPr>
      </w:pPr>
      <w:r>
        <w:rPr>
          <w:rFonts w:cstheme="minorHAnsi"/>
          <w:sz w:val="20"/>
          <w:szCs w:val="20"/>
        </w:rPr>
        <w:lastRenderedPageBreak/>
        <w:t>Sprawozdania finansowe za okres 3 lat obrotowych</w:t>
      </w:r>
      <w:r>
        <w:rPr>
          <w:rFonts w:cstheme="minorHAnsi"/>
          <w:i/>
          <w:iCs/>
          <w:sz w:val="20"/>
          <w:szCs w:val="20"/>
        </w:rPr>
        <w:t xml:space="preserve"> /jeśli podmiot/przedsiębiorstwo ma obowiązek jego sporządzania - </w:t>
      </w:r>
      <w:r>
        <w:rPr>
          <w:rFonts w:cstheme="minorHAnsi"/>
          <w:iCs/>
          <w:sz w:val="20"/>
          <w:szCs w:val="20"/>
        </w:rPr>
        <w:t>poświadczone za zgodność z oryginałem,</w:t>
      </w:r>
    </w:p>
    <w:p w:rsidR="00BB0041" w:rsidRDefault="00BB0041" w:rsidP="00BB0041">
      <w:pPr>
        <w:numPr>
          <w:ilvl w:val="0"/>
          <w:numId w:val="2"/>
        </w:numPr>
        <w:spacing w:after="0" w:line="276" w:lineRule="auto"/>
        <w:ind w:left="1134"/>
        <w:jc w:val="both"/>
        <w:rPr>
          <w:rFonts w:cstheme="minorHAnsi"/>
          <w:i/>
          <w:iCs/>
          <w:strike/>
          <w:sz w:val="20"/>
          <w:szCs w:val="20"/>
        </w:rPr>
      </w:pPr>
      <w:r>
        <w:rPr>
          <w:rFonts w:cstheme="minorHAnsi"/>
          <w:iCs/>
          <w:sz w:val="20"/>
          <w:szCs w:val="20"/>
        </w:rPr>
        <w:t>Oświadczenie o braku konieczności do sporządzania sprawozdania finansowego /jeśli</w:t>
      </w:r>
      <w:r>
        <w:rPr>
          <w:rFonts w:cstheme="minorHAnsi"/>
          <w:i/>
          <w:iCs/>
          <w:sz w:val="20"/>
          <w:szCs w:val="20"/>
        </w:rPr>
        <w:t xml:space="preserve"> podmiot/przedsiębiorstwo nie ma obowiązku jego sporządzania.</w:t>
      </w:r>
    </w:p>
    <w:p w:rsidR="00BB0041" w:rsidRDefault="00BB0041" w:rsidP="00BB0041">
      <w:pPr>
        <w:spacing w:after="0"/>
        <w:jc w:val="both"/>
        <w:rPr>
          <w:rFonts w:cstheme="minorHAnsi"/>
          <w:i/>
          <w:iCs/>
          <w:strike/>
          <w:sz w:val="20"/>
          <w:szCs w:val="20"/>
        </w:rPr>
      </w:pPr>
    </w:p>
    <w:p w:rsidR="00BB0041" w:rsidRDefault="00BB0041" w:rsidP="00BB0041">
      <w:pPr>
        <w:numPr>
          <w:ilvl w:val="0"/>
          <w:numId w:val="4"/>
        </w:numPr>
        <w:tabs>
          <w:tab w:val="left" w:pos="284"/>
        </w:tabs>
        <w:spacing w:after="200" w:line="276" w:lineRule="auto"/>
        <w:ind w:hanging="2520"/>
        <w:jc w:val="both"/>
        <w:rPr>
          <w:rFonts w:cstheme="minorHAnsi"/>
          <w:b/>
          <w:sz w:val="20"/>
          <w:szCs w:val="20"/>
        </w:rPr>
      </w:pPr>
      <w:r>
        <w:rPr>
          <w:rFonts w:cstheme="minorHAnsi"/>
          <w:b/>
          <w:sz w:val="20"/>
          <w:szCs w:val="20"/>
        </w:rPr>
        <w:t>Informacja o wadium</w:t>
      </w:r>
    </w:p>
    <w:p w:rsidR="00BB0041" w:rsidRDefault="00BB0041" w:rsidP="00BB0041">
      <w:pPr>
        <w:jc w:val="both"/>
        <w:rPr>
          <w:rFonts w:cstheme="minorHAnsi"/>
          <w:sz w:val="20"/>
          <w:szCs w:val="20"/>
        </w:rPr>
      </w:pPr>
      <w:r>
        <w:rPr>
          <w:rFonts w:cstheme="minorHAnsi"/>
          <w:sz w:val="20"/>
          <w:szCs w:val="20"/>
        </w:rPr>
        <w:t xml:space="preserve">Oferent zobowiązany jest do wpłaty wadium z dopiskiem </w:t>
      </w:r>
      <w:r w:rsidRPr="00E1621C">
        <w:rPr>
          <w:rFonts w:cstheme="minorHAnsi"/>
          <w:b/>
          <w:sz w:val="20"/>
          <w:szCs w:val="20"/>
        </w:rPr>
        <w:t xml:space="preserve">„Wadium – </w:t>
      </w:r>
      <w:r w:rsidR="00C21C1C">
        <w:rPr>
          <w:rFonts w:cstheme="minorHAnsi"/>
          <w:b/>
          <w:sz w:val="20"/>
          <w:szCs w:val="20"/>
        </w:rPr>
        <w:t>Moduł A</w:t>
      </w:r>
      <w:r>
        <w:rPr>
          <w:rFonts w:cstheme="minorHAnsi"/>
          <w:b/>
          <w:sz w:val="20"/>
          <w:szCs w:val="20"/>
        </w:rPr>
        <w:t xml:space="preserve"> Oulu Tech</w:t>
      </w:r>
      <w:r w:rsidRPr="00E1621C">
        <w:rPr>
          <w:rFonts w:cstheme="minorHAnsi"/>
          <w:b/>
          <w:sz w:val="20"/>
          <w:szCs w:val="20"/>
        </w:rPr>
        <w:t xml:space="preserve"> </w:t>
      </w:r>
      <w:r>
        <w:rPr>
          <w:rFonts w:cstheme="minorHAnsi"/>
          <w:b/>
          <w:sz w:val="20"/>
          <w:szCs w:val="20"/>
        </w:rPr>
        <w:t xml:space="preserve">” </w:t>
      </w:r>
      <w:r>
        <w:rPr>
          <w:rFonts w:cstheme="minorHAnsi"/>
          <w:sz w:val="20"/>
          <w:szCs w:val="20"/>
        </w:rPr>
        <w:t xml:space="preserve">na konto Kieleckiego Parku Technologicznego nr 50 </w:t>
      </w:r>
      <w:r w:rsidRPr="008C1CFC">
        <w:rPr>
          <w:rFonts w:cstheme="minorHAnsi"/>
          <w:sz w:val="20"/>
          <w:szCs w:val="20"/>
        </w:rPr>
        <w:t xml:space="preserve">1050 1461 1000 0023 5341 5645 w wysokości </w:t>
      </w:r>
      <w:r w:rsidRPr="00521F78">
        <w:rPr>
          <w:rFonts w:cstheme="minorHAnsi"/>
          <w:b/>
          <w:sz w:val="20"/>
          <w:szCs w:val="20"/>
        </w:rPr>
        <w:t>2 000,00 zł</w:t>
      </w:r>
      <w:r w:rsidRPr="00521F78">
        <w:rPr>
          <w:rFonts w:cstheme="minorHAnsi"/>
          <w:sz w:val="20"/>
          <w:szCs w:val="20"/>
        </w:rPr>
        <w:t xml:space="preserve"> </w:t>
      </w:r>
      <w:r w:rsidRPr="008C1CFC">
        <w:rPr>
          <w:rFonts w:cstheme="minorHAnsi"/>
          <w:sz w:val="20"/>
          <w:szCs w:val="20"/>
        </w:rPr>
        <w:t xml:space="preserve">(słownie: dwa tysiące złotych 00/100 groszy), najpóźniej do </w:t>
      </w:r>
      <w:r w:rsidRPr="002F34E0">
        <w:rPr>
          <w:rFonts w:cstheme="minorHAnsi"/>
          <w:sz w:val="20"/>
          <w:szCs w:val="20"/>
        </w:rPr>
        <w:t xml:space="preserve">dnia </w:t>
      </w:r>
      <w:r>
        <w:rPr>
          <w:rFonts w:cstheme="minorHAnsi"/>
          <w:b/>
          <w:sz w:val="20"/>
          <w:szCs w:val="20"/>
        </w:rPr>
        <w:t>02.07</w:t>
      </w:r>
      <w:r w:rsidRPr="002F34E0">
        <w:rPr>
          <w:rFonts w:cstheme="minorHAnsi"/>
          <w:b/>
          <w:sz w:val="20"/>
          <w:szCs w:val="20"/>
        </w:rPr>
        <w:t>.202</w:t>
      </w:r>
      <w:r>
        <w:rPr>
          <w:rFonts w:cstheme="minorHAnsi"/>
          <w:b/>
          <w:sz w:val="20"/>
          <w:szCs w:val="20"/>
        </w:rPr>
        <w:t>4</w:t>
      </w:r>
      <w:r w:rsidR="00C21C1C">
        <w:rPr>
          <w:rFonts w:cstheme="minorHAnsi"/>
          <w:b/>
          <w:sz w:val="20"/>
          <w:szCs w:val="20"/>
        </w:rPr>
        <w:t xml:space="preserve"> r. do godz. 9</w:t>
      </w:r>
      <w:r w:rsidRPr="002F34E0">
        <w:rPr>
          <w:rFonts w:cstheme="minorHAnsi"/>
          <w:b/>
          <w:sz w:val="20"/>
          <w:szCs w:val="20"/>
        </w:rPr>
        <w:t xml:space="preserve">.00. </w:t>
      </w:r>
    </w:p>
    <w:p w:rsidR="00BB0041" w:rsidRDefault="00BB0041" w:rsidP="00BB0041">
      <w:pPr>
        <w:jc w:val="both"/>
        <w:rPr>
          <w:rFonts w:cstheme="minorHAnsi"/>
          <w:sz w:val="20"/>
          <w:szCs w:val="20"/>
        </w:rPr>
      </w:pPr>
      <w:r>
        <w:rPr>
          <w:rFonts w:cstheme="minorHAnsi"/>
          <w:sz w:val="20"/>
          <w:szCs w:val="20"/>
        </w:rPr>
        <w:t xml:space="preserve">Datą wpłaty wadium jest data uznania rachunku bankowego KPT. Oferent powinien dołączyć do oferty kopię potwierdzenia dokonania przelewu.  </w:t>
      </w:r>
    </w:p>
    <w:p w:rsidR="00BB0041" w:rsidRDefault="00BB0041" w:rsidP="00BB0041">
      <w:pPr>
        <w:jc w:val="both"/>
        <w:rPr>
          <w:rFonts w:cstheme="minorHAnsi"/>
          <w:sz w:val="20"/>
          <w:szCs w:val="20"/>
        </w:rPr>
      </w:pPr>
      <w:r>
        <w:rPr>
          <w:rFonts w:cstheme="minorHAnsi"/>
          <w:sz w:val="20"/>
          <w:szCs w:val="20"/>
        </w:rPr>
        <w:t>Wadium wpłacone przez uczestnika, który wygrał przetarg będzie zaliczone na poczet kaucji po zawarciu umowy najmu. W przypadku uchylenia się przez podmiot wyłoniony w drodze przetargu od zawarcia umowy najmu nieruchomości wpłacone wadium ulega przepadkowi.</w:t>
      </w:r>
    </w:p>
    <w:p w:rsidR="00BB0041" w:rsidRDefault="00BB0041" w:rsidP="00BB0041">
      <w:pPr>
        <w:jc w:val="both"/>
        <w:rPr>
          <w:rFonts w:cstheme="minorHAnsi"/>
          <w:sz w:val="20"/>
          <w:szCs w:val="20"/>
        </w:rPr>
      </w:pPr>
      <w:r>
        <w:rPr>
          <w:rFonts w:cstheme="minorHAnsi"/>
          <w:sz w:val="20"/>
          <w:szCs w:val="20"/>
        </w:rPr>
        <w:t>Za odmowę podpisania umowy będzie uważane:</w:t>
      </w:r>
    </w:p>
    <w:p w:rsidR="00BB0041" w:rsidRDefault="00BB0041" w:rsidP="00BB0041">
      <w:pPr>
        <w:numPr>
          <w:ilvl w:val="0"/>
          <w:numId w:val="7"/>
        </w:numPr>
        <w:spacing w:after="200" w:line="276" w:lineRule="auto"/>
        <w:jc w:val="both"/>
        <w:rPr>
          <w:rFonts w:cstheme="minorHAnsi"/>
          <w:sz w:val="20"/>
          <w:szCs w:val="20"/>
        </w:rPr>
      </w:pPr>
      <w:r>
        <w:rPr>
          <w:rFonts w:cstheme="minorHAnsi"/>
          <w:sz w:val="20"/>
          <w:szCs w:val="20"/>
        </w:rPr>
        <w:t>niestawienie się w siedzibie Kieleckiego Parku Technologicznego oferenta lub upoważnionego przedstawiciela oferenta w celu podpisania umowy w terminie wyznaczonym na jej podpisanie lub</w:t>
      </w:r>
    </w:p>
    <w:p w:rsidR="00BB0041" w:rsidRDefault="00BB0041" w:rsidP="00BB0041">
      <w:pPr>
        <w:numPr>
          <w:ilvl w:val="0"/>
          <w:numId w:val="7"/>
        </w:numPr>
        <w:spacing w:after="200" w:line="276" w:lineRule="auto"/>
        <w:jc w:val="both"/>
        <w:rPr>
          <w:rFonts w:cstheme="minorHAnsi"/>
          <w:sz w:val="20"/>
          <w:szCs w:val="20"/>
        </w:rPr>
      </w:pPr>
      <w:r>
        <w:rPr>
          <w:rFonts w:cstheme="minorHAnsi"/>
          <w:sz w:val="20"/>
          <w:szCs w:val="20"/>
        </w:rPr>
        <w:t>niedostarczenie podpisanej umowy do siedziby Kieleckiego Parku Technologicznego niezwłocznie po jej otrzymaniu, jeżeli zostanie ona wysłana oferentowi za pomocą operatora pocztowego w celu jej podpisania.</w:t>
      </w:r>
    </w:p>
    <w:p w:rsidR="00BB0041" w:rsidRDefault="00BB0041" w:rsidP="00BB0041">
      <w:pPr>
        <w:jc w:val="both"/>
        <w:rPr>
          <w:rFonts w:cstheme="minorHAnsi"/>
          <w:sz w:val="20"/>
          <w:szCs w:val="20"/>
        </w:rPr>
      </w:pPr>
      <w:r>
        <w:rPr>
          <w:rFonts w:cstheme="minorHAnsi"/>
          <w:sz w:val="20"/>
          <w:szCs w:val="20"/>
        </w:rPr>
        <w:t>Pozostałym uczestnikom postępowania wadium zostanie zwrócone na wskazane konto na pisemny wniosek uczestnika.</w:t>
      </w:r>
    </w:p>
    <w:p w:rsidR="00BB0041" w:rsidRDefault="00BB0041" w:rsidP="00BB0041">
      <w:pPr>
        <w:jc w:val="both"/>
        <w:rPr>
          <w:rFonts w:cstheme="minorHAnsi"/>
          <w:sz w:val="20"/>
          <w:szCs w:val="20"/>
        </w:rPr>
      </w:pPr>
    </w:p>
    <w:p w:rsidR="00BB0041" w:rsidRDefault="00BB0041" w:rsidP="00BB0041">
      <w:pPr>
        <w:numPr>
          <w:ilvl w:val="0"/>
          <w:numId w:val="4"/>
        </w:numPr>
        <w:tabs>
          <w:tab w:val="left" w:pos="284"/>
        </w:tabs>
        <w:spacing w:after="200" w:line="276" w:lineRule="auto"/>
        <w:ind w:hanging="2520"/>
        <w:jc w:val="both"/>
        <w:rPr>
          <w:rFonts w:cstheme="minorHAnsi"/>
          <w:b/>
          <w:sz w:val="20"/>
          <w:szCs w:val="20"/>
        </w:rPr>
      </w:pPr>
      <w:r>
        <w:rPr>
          <w:rFonts w:cstheme="minorHAnsi"/>
          <w:b/>
          <w:sz w:val="20"/>
          <w:szCs w:val="20"/>
        </w:rPr>
        <w:t>Przeprowadzanie naboru ofert</w:t>
      </w:r>
    </w:p>
    <w:p w:rsidR="00BB0041" w:rsidRDefault="00BB0041" w:rsidP="00BB0041">
      <w:pPr>
        <w:numPr>
          <w:ilvl w:val="0"/>
          <w:numId w:val="8"/>
        </w:numPr>
        <w:tabs>
          <w:tab w:val="left" w:pos="284"/>
        </w:tabs>
        <w:spacing w:after="0" w:line="240" w:lineRule="auto"/>
        <w:ind w:left="0" w:firstLine="0"/>
        <w:jc w:val="both"/>
        <w:rPr>
          <w:rFonts w:cstheme="minorHAnsi"/>
          <w:sz w:val="20"/>
          <w:szCs w:val="20"/>
        </w:rPr>
      </w:pPr>
      <w:r>
        <w:rPr>
          <w:rFonts w:cstheme="minorHAnsi"/>
          <w:sz w:val="20"/>
          <w:szCs w:val="20"/>
        </w:rPr>
        <w:t>Oferta na najem nieruchomości powinna być umieszczona w zamkniętej kopercie i dostarczona do siedziby Wynajmującego lub przesłana na adres:</w:t>
      </w:r>
    </w:p>
    <w:p w:rsidR="00BB0041" w:rsidRDefault="00BB0041" w:rsidP="00BB0041">
      <w:pPr>
        <w:tabs>
          <w:tab w:val="left" w:pos="284"/>
        </w:tabs>
        <w:spacing w:after="0" w:line="240" w:lineRule="auto"/>
        <w:ind w:left="720"/>
        <w:jc w:val="both"/>
        <w:rPr>
          <w:rFonts w:cstheme="minorHAnsi"/>
          <w:sz w:val="20"/>
          <w:szCs w:val="20"/>
        </w:rPr>
      </w:pPr>
    </w:p>
    <w:p w:rsidR="00BB0041" w:rsidRDefault="00BB0041" w:rsidP="00BB0041">
      <w:pPr>
        <w:tabs>
          <w:tab w:val="left" w:pos="284"/>
        </w:tabs>
        <w:spacing w:after="0" w:line="240" w:lineRule="auto"/>
        <w:jc w:val="both"/>
        <w:rPr>
          <w:rFonts w:cstheme="minorHAnsi"/>
          <w:sz w:val="20"/>
          <w:szCs w:val="20"/>
        </w:rPr>
      </w:pPr>
      <w:r>
        <w:rPr>
          <w:rFonts w:cstheme="minorHAnsi"/>
          <w:sz w:val="20"/>
          <w:szCs w:val="20"/>
        </w:rPr>
        <w:t>Kielecki Park Technologiczny</w:t>
      </w:r>
    </w:p>
    <w:p w:rsidR="00BB0041" w:rsidRDefault="00BB0041" w:rsidP="00BB0041">
      <w:pPr>
        <w:tabs>
          <w:tab w:val="left" w:pos="284"/>
        </w:tabs>
        <w:spacing w:after="0" w:line="240" w:lineRule="auto"/>
        <w:jc w:val="both"/>
        <w:rPr>
          <w:rFonts w:cstheme="minorHAnsi"/>
          <w:sz w:val="20"/>
          <w:szCs w:val="20"/>
        </w:rPr>
      </w:pPr>
      <w:r>
        <w:rPr>
          <w:rFonts w:cstheme="minorHAnsi"/>
          <w:sz w:val="20"/>
          <w:szCs w:val="20"/>
        </w:rPr>
        <w:t xml:space="preserve">ul. Olszewskiego 6 </w:t>
      </w:r>
    </w:p>
    <w:p w:rsidR="00BB0041" w:rsidRDefault="00BB0041" w:rsidP="00BB0041">
      <w:pPr>
        <w:tabs>
          <w:tab w:val="left" w:pos="284"/>
        </w:tabs>
        <w:spacing w:after="0" w:line="240" w:lineRule="auto"/>
        <w:jc w:val="both"/>
        <w:rPr>
          <w:rFonts w:cstheme="minorHAnsi"/>
          <w:sz w:val="20"/>
          <w:szCs w:val="20"/>
        </w:rPr>
      </w:pPr>
      <w:r>
        <w:rPr>
          <w:rFonts w:cstheme="minorHAnsi"/>
          <w:sz w:val="20"/>
          <w:szCs w:val="20"/>
        </w:rPr>
        <w:t>25-663 Kielce</w:t>
      </w:r>
    </w:p>
    <w:p w:rsidR="00BB0041" w:rsidRPr="00521F78" w:rsidRDefault="00BB0041" w:rsidP="00BB0041">
      <w:pPr>
        <w:tabs>
          <w:tab w:val="left" w:pos="284"/>
        </w:tabs>
        <w:spacing w:after="0" w:line="240" w:lineRule="auto"/>
        <w:jc w:val="both"/>
        <w:rPr>
          <w:rFonts w:cstheme="minorHAnsi"/>
          <w:b/>
          <w:sz w:val="20"/>
          <w:szCs w:val="20"/>
        </w:rPr>
      </w:pPr>
      <w:r>
        <w:rPr>
          <w:rFonts w:cstheme="minorHAnsi"/>
          <w:sz w:val="20"/>
          <w:szCs w:val="20"/>
        </w:rPr>
        <w:t>z dopiskiem: „Nabór ofert na wynajem nieruchomości –</w:t>
      </w:r>
      <w:r w:rsidRPr="00E1621C">
        <w:rPr>
          <w:rFonts w:cstheme="minorHAnsi"/>
          <w:sz w:val="20"/>
          <w:szCs w:val="20"/>
        </w:rPr>
        <w:t xml:space="preserve"> </w:t>
      </w:r>
      <w:r w:rsidR="00C21C1C">
        <w:rPr>
          <w:rFonts w:cstheme="minorHAnsi"/>
          <w:b/>
          <w:sz w:val="20"/>
          <w:szCs w:val="20"/>
        </w:rPr>
        <w:t>Moduł A</w:t>
      </w:r>
      <w:r>
        <w:rPr>
          <w:rFonts w:cstheme="minorHAnsi"/>
          <w:b/>
          <w:sz w:val="20"/>
          <w:szCs w:val="20"/>
        </w:rPr>
        <w:t xml:space="preserve"> OULU</w:t>
      </w:r>
      <w:r w:rsidRPr="00E1621C">
        <w:rPr>
          <w:rFonts w:cstheme="minorHAnsi"/>
          <w:b/>
          <w:sz w:val="20"/>
          <w:szCs w:val="20"/>
        </w:rPr>
        <w:t xml:space="preserve"> Tech. </w:t>
      </w:r>
      <w:r w:rsidRPr="00E1621C">
        <w:rPr>
          <w:rFonts w:cstheme="minorHAnsi"/>
          <w:sz w:val="20"/>
          <w:szCs w:val="20"/>
        </w:rPr>
        <w:t xml:space="preserve">Nie otwierać przed </w:t>
      </w:r>
      <w:r w:rsidR="00AD28D6">
        <w:rPr>
          <w:rFonts w:cstheme="minorHAnsi"/>
          <w:b/>
          <w:sz w:val="20"/>
          <w:szCs w:val="20"/>
        </w:rPr>
        <w:t>02.07</w:t>
      </w:r>
      <w:r w:rsidRPr="002F34E0">
        <w:rPr>
          <w:rFonts w:cstheme="minorHAnsi"/>
          <w:b/>
          <w:sz w:val="20"/>
          <w:szCs w:val="20"/>
        </w:rPr>
        <w:t>.202</w:t>
      </w:r>
      <w:r>
        <w:rPr>
          <w:rFonts w:cstheme="minorHAnsi"/>
          <w:b/>
          <w:sz w:val="20"/>
          <w:szCs w:val="20"/>
        </w:rPr>
        <w:t>4</w:t>
      </w:r>
      <w:r w:rsidR="00C21C1C">
        <w:rPr>
          <w:rFonts w:cstheme="minorHAnsi"/>
          <w:b/>
          <w:sz w:val="20"/>
          <w:szCs w:val="20"/>
        </w:rPr>
        <w:t xml:space="preserve"> r. godz. 9</w:t>
      </w:r>
      <w:r w:rsidRPr="002F34E0">
        <w:rPr>
          <w:rFonts w:cstheme="minorHAnsi"/>
          <w:b/>
          <w:sz w:val="20"/>
          <w:szCs w:val="20"/>
        </w:rPr>
        <w:t>.00”.</w:t>
      </w:r>
    </w:p>
    <w:p w:rsidR="00BB0041" w:rsidRDefault="00BB0041" w:rsidP="00BB0041">
      <w:pPr>
        <w:tabs>
          <w:tab w:val="left" w:pos="284"/>
        </w:tabs>
        <w:spacing w:after="0" w:line="240" w:lineRule="auto"/>
        <w:jc w:val="both"/>
        <w:rPr>
          <w:rFonts w:cstheme="minorHAnsi"/>
          <w:sz w:val="20"/>
          <w:szCs w:val="20"/>
        </w:rPr>
      </w:pPr>
    </w:p>
    <w:p w:rsidR="00BB0041" w:rsidRPr="00E1621C" w:rsidRDefault="00BB0041" w:rsidP="00BB0041">
      <w:pPr>
        <w:numPr>
          <w:ilvl w:val="0"/>
          <w:numId w:val="8"/>
        </w:numPr>
        <w:tabs>
          <w:tab w:val="left" w:pos="284"/>
        </w:tabs>
        <w:spacing w:after="200" w:line="240" w:lineRule="auto"/>
        <w:ind w:hanging="720"/>
        <w:jc w:val="both"/>
        <w:rPr>
          <w:rFonts w:cstheme="minorHAnsi"/>
          <w:sz w:val="20"/>
          <w:szCs w:val="20"/>
        </w:rPr>
      </w:pPr>
      <w:r>
        <w:rPr>
          <w:rFonts w:cstheme="minorHAnsi"/>
          <w:sz w:val="20"/>
          <w:szCs w:val="20"/>
        </w:rPr>
        <w:t xml:space="preserve">Oferty należy złożyć do dnia </w:t>
      </w:r>
      <w:r>
        <w:rPr>
          <w:rFonts w:cstheme="minorHAnsi"/>
          <w:b/>
          <w:sz w:val="20"/>
          <w:szCs w:val="20"/>
        </w:rPr>
        <w:t>02.07</w:t>
      </w:r>
      <w:r w:rsidRPr="002F34E0">
        <w:rPr>
          <w:rFonts w:cstheme="minorHAnsi"/>
          <w:b/>
          <w:sz w:val="20"/>
          <w:szCs w:val="20"/>
        </w:rPr>
        <w:t>.202</w:t>
      </w:r>
      <w:r>
        <w:rPr>
          <w:rFonts w:cstheme="minorHAnsi"/>
          <w:b/>
          <w:sz w:val="20"/>
          <w:szCs w:val="20"/>
        </w:rPr>
        <w:t>4</w:t>
      </w:r>
      <w:r w:rsidR="00C21C1C">
        <w:rPr>
          <w:rFonts w:cstheme="minorHAnsi"/>
          <w:b/>
          <w:sz w:val="20"/>
          <w:szCs w:val="20"/>
        </w:rPr>
        <w:t xml:space="preserve"> r. godz. 9</w:t>
      </w:r>
      <w:r w:rsidRPr="002F34E0">
        <w:rPr>
          <w:rFonts w:cstheme="minorHAnsi"/>
          <w:b/>
          <w:sz w:val="20"/>
          <w:szCs w:val="20"/>
        </w:rPr>
        <w:t>.00.</w:t>
      </w:r>
    </w:p>
    <w:p w:rsidR="00BB0041" w:rsidRDefault="00BB0041" w:rsidP="00BB0041">
      <w:pPr>
        <w:numPr>
          <w:ilvl w:val="0"/>
          <w:numId w:val="8"/>
        </w:numPr>
        <w:tabs>
          <w:tab w:val="left" w:pos="284"/>
        </w:tabs>
        <w:spacing w:after="200" w:line="240" w:lineRule="auto"/>
        <w:ind w:left="284" w:hanging="284"/>
        <w:jc w:val="both"/>
        <w:rPr>
          <w:rFonts w:cstheme="minorHAnsi"/>
          <w:sz w:val="20"/>
          <w:szCs w:val="20"/>
        </w:rPr>
      </w:pPr>
      <w:r>
        <w:rPr>
          <w:rFonts w:cstheme="minorHAnsi"/>
          <w:sz w:val="20"/>
          <w:szCs w:val="20"/>
        </w:rPr>
        <w:t>Organizator zastrzega sobie prawo do odwołania naboru ofert lub przesunięcia terminu składania ofert bez podawania przyczyny.</w:t>
      </w:r>
    </w:p>
    <w:p w:rsidR="00BB0041" w:rsidRDefault="00BB0041" w:rsidP="00BB0041">
      <w:pPr>
        <w:numPr>
          <w:ilvl w:val="0"/>
          <w:numId w:val="8"/>
        </w:numPr>
        <w:tabs>
          <w:tab w:val="left" w:pos="284"/>
        </w:tabs>
        <w:spacing w:after="200" w:line="240" w:lineRule="auto"/>
        <w:ind w:hanging="720"/>
        <w:jc w:val="both"/>
        <w:rPr>
          <w:rFonts w:cstheme="minorHAnsi"/>
          <w:sz w:val="20"/>
          <w:szCs w:val="20"/>
        </w:rPr>
      </w:pPr>
      <w:r>
        <w:rPr>
          <w:rFonts w:cstheme="minorHAnsi"/>
          <w:sz w:val="20"/>
          <w:szCs w:val="20"/>
        </w:rPr>
        <w:t>O odwołaniu naboru ofert organizator zawiadomi w ten sam sposób, jak o naborze ofert.</w:t>
      </w:r>
    </w:p>
    <w:p w:rsidR="00BB0041" w:rsidRDefault="00BB0041" w:rsidP="00BB0041">
      <w:pPr>
        <w:numPr>
          <w:ilvl w:val="0"/>
          <w:numId w:val="8"/>
        </w:numPr>
        <w:tabs>
          <w:tab w:val="left" w:pos="284"/>
        </w:tabs>
        <w:spacing w:before="240" w:after="200" w:line="240" w:lineRule="auto"/>
        <w:ind w:hanging="720"/>
        <w:jc w:val="both"/>
        <w:rPr>
          <w:rFonts w:cstheme="minorHAnsi"/>
          <w:sz w:val="20"/>
          <w:szCs w:val="20"/>
        </w:rPr>
      </w:pPr>
      <w:r>
        <w:rPr>
          <w:rFonts w:cstheme="minorHAnsi"/>
          <w:sz w:val="20"/>
          <w:szCs w:val="20"/>
        </w:rPr>
        <w:t>Oferty, które wpłyną do Wynajmującego po terminie nie będą otwierane i zostaną zwrócone bez otwierania.</w:t>
      </w:r>
    </w:p>
    <w:p w:rsidR="00BB0041" w:rsidRDefault="00BB0041" w:rsidP="00BB0041">
      <w:pPr>
        <w:tabs>
          <w:tab w:val="left" w:pos="284"/>
        </w:tabs>
        <w:spacing w:before="240" w:after="200" w:line="240" w:lineRule="auto"/>
        <w:jc w:val="both"/>
        <w:rPr>
          <w:rFonts w:cstheme="minorHAnsi"/>
          <w:sz w:val="20"/>
          <w:szCs w:val="20"/>
        </w:rPr>
      </w:pPr>
    </w:p>
    <w:p w:rsidR="00BB0041" w:rsidRPr="007C5893" w:rsidRDefault="00BB0041" w:rsidP="00BB0041">
      <w:pPr>
        <w:tabs>
          <w:tab w:val="left" w:pos="284"/>
        </w:tabs>
        <w:spacing w:before="240" w:after="200" w:line="240" w:lineRule="auto"/>
        <w:jc w:val="both"/>
        <w:rPr>
          <w:rFonts w:cstheme="minorHAnsi"/>
          <w:sz w:val="20"/>
          <w:szCs w:val="20"/>
        </w:rPr>
      </w:pPr>
    </w:p>
    <w:p w:rsidR="00BB0041" w:rsidRDefault="00B10233" w:rsidP="00BB0041">
      <w:pPr>
        <w:numPr>
          <w:ilvl w:val="0"/>
          <w:numId w:val="4"/>
        </w:numPr>
        <w:tabs>
          <w:tab w:val="left" w:pos="284"/>
        </w:tabs>
        <w:spacing w:before="240" w:after="200" w:line="240" w:lineRule="auto"/>
        <w:ind w:hanging="2520"/>
        <w:jc w:val="both"/>
        <w:rPr>
          <w:rFonts w:cstheme="minorHAnsi"/>
          <w:b/>
          <w:sz w:val="20"/>
          <w:szCs w:val="20"/>
        </w:rPr>
      </w:pPr>
      <w:r>
        <w:rPr>
          <w:rFonts w:cstheme="minorHAnsi"/>
          <w:b/>
          <w:sz w:val="20"/>
          <w:szCs w:val="20"/>
        </w:rPr>
        <w:t>Otwarcie ofert</w:t>
      </w:r>
      <w:bookmarkStart w:id="0" w:name="_GoBack"/>
      <w:bookmarkEnd w:id="0"/>
    </w:p>
    <w:p w:rsidR="00BB0041" w:rsidRPr="00673AFA" w:rsidRDefault="00BB0041" w:rsidP="00BB0041">
      <w:pPr>
        <w:jc w:val="both"/>
        <w:rPr>
          <w:rFonts w:cstheme="minorHAnsi"/>
          <w:sz w:val="20"/>
          <w:szCs w:val="20"/>
        </w:rPr>
      </w:pPr>
      <w:r>
        <w:rPr>
          <w:rFonts w:cstheme="minorHAnsi"/>
          <w:sz w:val="20"/>
          <w:szCs w:val="20"/>
        </w:rPr>
        <w:t>Komisyjne otwarcie złożonych ofert odbędzie się w Kieleckim Parku Technologicznym ul. Olszewskiego 6 w dniu</w:t>
      </w:r>
      <w:r w:rsidRPr="002E4356">
        <w:rPr>
          <w:rFonts w:cstheme="minorHAnsi"/>
          <w:color w:val="FF0000"/>
          <w:sz w:val="20"/>
          <w:szCs w:val="20"/>
        </w:rPr>
        <w:t xml:space="preserve"> </w:t>
      </w:r>
      <w:r>
        <w:rPr>
          <w:rFonts w:cstheme="minorHAnsi"/>
          <w:b/>
          <w:sz w:val="20"/>
          <w:szCs w:val="20"/>
        </w:rPr>
        <w:t>02.07</w:t>
      </w:r>
      <w:r w:rsidRPr="002F34E0">
        <w:rPr>
          <w:rFonts w:cstheme="minorHAnsi"/>
          <w:b/>
          <w:sz w:val="20"/>
          <w:szCs w:val="20"/>
        </w:rPr>
        <w:t>.202</w:t>
      </w:r>
      <w:r>
        <w:rPr>
          <w:rFonts w:cstheme="minorHAnsi"/>
          <w:b/>
          <w:sz w:val="20"/>
          <w:szCs w:val="20"/>
        </w:rPr>
        <w:t>4</w:t>
      </w:r>
      <w:r w:rsidR="00C21C1C">
        <w:rPr>
          <w:rFonts w:cstheme="minorHAnsi"/>
          <w:b/>
          <w:sz w:val="20"/>
          <w:szCs w:val="20"/>
        </w:rPr>
        <w:t xml:space="preserve"> r. o godz. 9</w:t>
      </w:r>
      <w:r w:rsidRPr="002F34E0">
        <w:rPr>
          <w:rFonts w:cstheme="minorHAnsi"/>
          <w:b/>
          <w:sz w:val="20"/>
          <w:szCs w:val="20"/>
        </w:rPr>
        <w:t>.15.</w:t>
      </w:r>
    </w:p>
    <w:p w:rsidR="00BB0041" w:rsidRDefault="00BB0041" w:rsidP="00BB0041">
      <w:pPr>
        <w:spacing w:line="240" w:lineRule="auto"/>
        <w:jc w:val="both"/>
        <w:rPr>
          <w:rFonts w:cstheme="minorHAnsi"/>
          <w:sz w:val="20"/>
          <w:szCs w:val="20"/>
        </w:rPr>
      </w:pPr>
      <w:r>
        <w:rPr>
          <w:rFonts w:cstheme="minorHAnsi"/>
          <w:sz w:val="20"/>
          <w:szCs w:val="20"/>
        </w:rPr>
        <w:t>Oferta powinna zwierać wszystkie dane i informacje określone we wzorze zawartym w Załączniku nr 2 do SIWP, w tym:</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Imię, nazwisko i adres oferenta, nazwę oraz siedzibę firmy, nr KRS jeżeli jest wpisana .</w:t>
      </w:r>
    </w:p>
    <w:p w:rsidR="00BB0041" w:rsidRDefault="00BB0041" w:rsidP="00BB0041">
      <w:pPr>
        <w:numPr>
          <w:ilvl w:val="0"/>
          <w:numId w:val="9"/>
        </w:numPr>
        <w:spacing w:after="200" w:line="276" w:lineRule="auto"/>
        <w:jc w:val="both"/>
        <w:rPr>
          <w:rFonts w:cstheme="minorHAnsi"/>
          <w:sz w:val="20"/>
          <w:szCs w:val="20"/>
        </w:rPr>
      </w:pPr>
      <w:r>
        <w:rPr>
          <w:rFonts w:cstheme="minorHAnsi"/>
          <w:sz w:val="20"/>
          <w:szCs w:val="20"/>
        </w:rPr>
        <w:t>Załącznik - Przedmiot działalności /branża/specjalność/opis produktu lub usługi/rodzaj wdrażanej technologii (min 3 strony A4).</w:t>
      </w:r>
    </w:p>
    <w:p w:rsidR="00BB0041" w:rsidRDefault="00BB0041" w:rsidP="00BB0041">
      <w:pPr>
        <w:numPr>
          <w:ilvl w:val="0"/>
          <w:numId w:val="9"/>
        </w:numPr>
        <w:spacing w:after="200" w:line="276" w:lineRule="auto"/>
        <w:jc w:val="both"/>
        <w:rPr>
          <w:rFonts w:cstheme="minorHAnsi"/>
          <w:sz w:val="20"/>
          <w:szCs w:val="20"/>
        </w:rPr>
      </w:pPr>
      <w:r>
        <w:rPr>
          <w:rFonts w:cstheme="minorHAnsi"/>
          <w:sz w:val="20"/>
          <w:szCs w:val="20"/>
        </w:rPr>
        <w:t xml:space="preserve">Potwierdzenie dokonania przelewu wadium. </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Oświadczenie, że Oferent zapoznał się z warunkami przetargu i przyjmuje te warunki bez zastrzeżeń.</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Ofertę podpisuje oferent lub osoba upoważniona na podstawie pełnomocnictwa.</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W przypadku reprezentowania osoby przez pełnomocnika   do oferty należy załączyć pełnomocnictwo upoważniające do działania na każdym etapie postępowania przetargowego z notarialnie poświadczonym podpisem mocodawcy.</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 xml:space="preserve">W razie spełnienia kryteriów zawartych w pkt. III Oferent winien złożyć </w:t>
      </w:r>
      <w:r>
        <w:rPr>
          <w:rFonts w:cstheme="minorHAnsi"/>
          <w:b/>
          <w:sz w:val="20"/>
          <w:szCs w:val="20"/>
          <w:u w:val="single"/>
        </w:rPr>
        <w:t>przed podpisaniem umowy:</w:t>
      </w:r>
    </w:p>
    <w:p w:rsidR="00BB0041" w:rsidRDefault="00BB0041" w:rsidP="00BB0041">
      <w:pPr>
        <w:numPr>
          <w:ilvl w:val="0"/>
          <w:numId w:val="10"/>
        </w:numPr>
        <w:spacing w:after="0" w:line="276" w:lineRule="auto"/>
        <w:ind w:left="993" w:hanging="284"/>
        <w:jc w:val="both"/>
        <w:rPr>
          <w:rFonts w:cstheme="minorHAnsi"/>
          <w:i/>
          <w:iCs/>
          <w:sz w:val="20"/>
          <w:szCs w:val="20"/>
        </w:rPr>
      </w:pPr>
      <w:r>
        <w:rPr>
          <w:rFonts w:cstheme="minorHAnsi"/>
          <w:sz w:val="20"/>
          <w:szCs w:val="20"/>
        </w:rPr>
        <w:t>Kwestionariusz badania statusu MSP,</w:t>
      </w:r>
      <w:r>
        <w:rPr>
          <w:rFonts w:cstheme="minorHAnsi"/>
          <w:i/>
          <w:iCs/>
          <w:sz w:val="20"/>
          <w:szCs w:val="20"/>
        </w:rPr>
        <w:t xml:space="preserve"> </w:t>
      </w:r>
    </w:p>
    <w:p w:rsidR="00BB0041" w:rsidRDefault="00BB0041" w:rsidP="00BB0041">
      <w:pPr>
        <w:numPr>
          <w:ilvl w:val="0"/>
          <w:numId w:val="10"/>
        </w:numPr>
        <w:spacing w:after="0" w:line="276" w:lineRule="auto"/>
        <w:ind w:left="993" w:hanging="284"/>
        <w:jc w:val="both"/>
        <w:rPr>
          <w:rFonts w:cstheme="minorHAnsi"/>
          <w:i/>
          <w:iCs/>
          <w:sz w:val="20"/>
          <w:szCs w:val="20"/>
        </w:rPr>
      </w:pPr>
      <w:r>
        <w:rPr>
          <w:rFonts w:cstheme="minorHAnsi"/>
          <w:sz w:val="20"/>
          <w:szCs w:val="20"/>
        </w:rPr>
        <w:t xml:space="preserve">Kserokopie zaświadczeń o pomocy de </w:t>
      </w:r>
      <w:proofErr w:type="spellStart"/>
      <w:r>
        <w:rPr>
          <w:rFonts w:cstheme="minorHAnsi"/>
          <w:sz w:val="20"/>
          <w:szCs w:val="20"/>
        </w:rPr>
        <w:t>minimis</w:t>
      </w:r>
      <w:proofErr w:type="spellEnd"/>
      <w:r>
        <w:rPr>
          <w:rFonts w:cstheme="minorHAnsi"/>
          <w:i/>
          <w:iCs/>
          <w:sz w:val="20"/>
          <w:szCs w:val="20"/>
        </w:rPr>
        <w:t xml:space="preserve"> – jeśli pomoc została udzielona w przeciągu ostatnich trzech lat, </w:t>
      </w:r>
      <w:r>
        <w:rPr>
          <w:rFonts w:cstheme="minorHAnsi"/>
          <w:iCs/>
          <w:sz w:val="20"/>
          <w:szCs w:val="20"/>
        </w:rPr>
        <w:t>poświadczone za zgodność z oryginałem,</w:t>
      </w:r>
    </w:p>
    <w:p w:rsidR="00BB0041" w:rsidRDefault="00BB0041" w:rsidP="00BB0041">
      <w:pPr>
        <w:numPr>
          <w:ilvl w:val="0"/>
          <w:numId w:val="10"/>
        </w:numPr>
        <w:spacing w:after="0" w:line="276" w:lineRule="auto"/>
        <w:ind w:left="993" w:hanging="284"/>
        <w:jc w:val="both"/>
        <w:rPr>
          <w:rFonts w:cstheme="minorHAnsi"/>
          <w:i/>
          <w:iCs/>
          <w:sz w:val="20"/>
          <w:szCs w:val="20"/>
        </w:rPr>
      </w:pPr>
      <w:r>
        <w:rPr>
          <w:rFonts w:cstheme="minorHAnsi"/>
          <w:sz w:val="20"/>
          <w:szCs w:val="20"/>
        </w:rPr>
        <w:t xml:space="preserve">Formularz informacji przedstawianych przy ubieganiu się o pomoc de </w:t>
      </w:r>
      <w:proofErr w:type="spellStart"/>
      <w:r>
        <w:rPr>
          <w:rFonts w:cstheme="minorHAnsi"/>
          <w:sz w:val="20"/>
          <w:szCs w:val="20"/>
        </w:rPr>
        <w:t>minimis</w:t>
      </w:r>
      <w:proofErr w:type="spellEnd"/>
      <w:r>
        <w:rPr>
          <w:rFonts w:cstheme="minorHAnsi"/>
          <w:sz w:val="20"/>
          <w:szCs w:val="20"/>
        </w:rPr>
        <w:t>,</w:t>
      </w:r>
      <w:r>
        <w:rPr>
          <w:rFonts w:cstheme="minorHAnsi"/>
          <w:i/>
          <w:iCs/>
          <w:sz w:val="20"/>
          <w:szCs w:val="20"/>
        </w:rPr>
        <w:t xml:space="preserve"> </w:t>
      </w:r>
    </w:p>
    <w:p w:rsidR="00BB0041" w:rsidRDefault="00BB0041" w:rsidP="00BB0041">
      <w:pPr>
        <w:numPr>
          <w:ilvl w:val="0"/>
          <w:numId w:val="10"/>
        </w:numPr>
        <w:spacing w:after="0" w:line="276" w:lineRule="auto"/>
        <w:ind w:left="993" w:hanging="284"/>
        <w:jc w:val="both"/>
        <w:rPr>
          <w:rFonts w:cstheme="minorHAnsi"/>
          <w:i/>
          <w:iCs/>
          <w:sz w:val="20"/>
          <w:szCs w:val="20"/>
        </w:rPr>
      </w:pPr>
      <w:r>
        <w:rPr>
          <w:rFonts w:cstheme="minorHAnsi"/>
          <w:sz w:val="20"/>
          <w:szCs w:val="20"/>
        </w:rPr>
        <w:t>Sprawozdania finansowe za okres 3 lat obrotowych</w:t>
      </w:r>
      <w:r>
        <w:rPr>
          <w:rFonts w:cstheme="minorHAnsi"/>
          <w:i/>
          <w:iCs/>
          <w:sz w:val="20"/>
          <w:szCs w:val="20"/>
        </w:rPr>
        <w:t xml:space="preserve">/jeśli podmiot/przedsiębiorstwo ma obowiązek jego sporządzania </w:t>
      </w:r>
      <w:r>
        <w:rPr>
          <w:rFonts w:cstheme="minorHAnsi"/>
          <w:iCs/>
          <w:sz w:val="20"/>
          <w:szCs w:val="20"/>
        </w:rPr>
        <w:t>poświadczone za zgodność z oryginałem,</w:t>
      </w:r>
    </w:p>
    <w:p w:rsidR="00BB0041" w:rsidRDefault="00BB0041" w:rsidP="00BB0041">
      <w:pPr>
        <w:numPr>
          <w:ilvl w:val="0"/>
          <w:numId w:val="10"/>
        </w:numPr>
        <w:spacing w:after="0" w:line="276" w:lineRule="auto"/>
        <w:ind w:left="993" w:hanging="284"/>
        <w:jc w:val="both"/>
        <w:rPr>
          <w:rFonts w:cstheme="minorHAnsi"/>
          <w:i/>
          <w:iCs/>
          <w:sz w:val="20"/>
          <w:szCs w:val="20"/>
        </w:rPr>
      </w:pPr>
      <w:r>
        <w:rPr>
          <w:rFonts w:cstheme="minorHAnsi"/>
          <w:iCs/>
          <w:sz w:val="20"/>
          <w:szCs w:val="20"/>
        </w:rPr>
        <w:t xml:space="preserve">Oświadczenie o braku konieczności sporządzania sprawozdania finansowego </w:t>
      </w:r>
      <w:r>
        <w:rPr>
          <w:rFonts w:cstheme="minorHAnsi"/>
          <w:i/>
          <w:iCs/>
          <w:sz w:val="20"/>
          <w:szCs w:val="20"/>
        </w:rPr>
        <w:t>/jeśli podmiot/przedsiębiorstwo nie ma obowiązku jego sporządzania.</w:t>
      </w:r>
    </w:p>
    <w:p w:rsidR="00BB0041" w:rsidRDefault="00BB0041" w:rsidP="00BB0041">
      <w:pPr>
        <w:spacing w:after="0"/>
        <w:ind w:left="993"/>
        <w:jc w:val="both"/>
        <w:rPr>
          <w:rFonts w:cstheme="minorHAnsi"/>
          <w:i/>
          <w:iCs/>
          <w:sz w:val="20"/>
          <w:szCs w:val="20"/>
        </w:rPr>
      </w:pP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 xml:space="preserve">Oferenci ponoszą wszelkie koszty związane z przygotowaniem i złożeniem oferty. </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 xml:space="preserve">Oferta powinna zawierać wszystkie wymagane dokumenty i załączniki. </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Oferta powinna być sporządzona w sposób przejrzysty i czytelny.</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Ofertę oraz wszystkie załączniki należy sporządzić w języku polskim.</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Oferent może wycofać złożoną ofertę powiadamiając pisemnie Organizatora przed upływem terminu składania ofert.</w:t>
      </w:r>
    </w:p>
    <w:p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 xml:space="preserve">Oferent może złożyć tylko jedną ofertę. </w:t>
      </w:r>
    </w:p>
    <w:p w:rsidR="00BB0041" w:rsidRDefault="00BB0041" w:rsidP="00BB0041">
      <w:pPr>
        <w:numPr>
          <w:ilvl w:val="0"/>
          <w:numId w:val="9"/>
        </w:numPr>
        <w:spacing w:after="200" w:line="240" w:lineRule="auto"/>
        <w:jc w:val="both"/>
        <w:rPr>
          <w:rFonts w:cstheme="minorHAnsi"/>
          <w:sz w:val="20"/>
          <w:szCs w:val="20"/>
        </w:rPr>
      </w:pPr>
      <w:r>
        <w:rPr>
          <w:rFonts w:cstheme="minorHAnsi"/>
          <w:iCs/>
          <w:sz w:val="20"/>
          <w:szCs w:val="20"/>
        </w:rPr>
        <w:t xml:space="preserve">Nie dopuszcza się składania ofert wspólnych przez oferentów. </w:t>
      </w:r>
    </w:p>
    <w:p w:rsidR="00BB0041" w:rsidRDefault="00BB0041" w:rsidP="00BB0041">
      <w:pPr>
        <w:spacing w:line="240" w:lineRule="auto"/>
        <w:jc w:val="both"/>
        <w:rPr>
          <w:rFonts w:cstheme="minorHAnsi"/>
          <w:sz w:val="20"/>
          <w:szCs w:val="20"/>
        </w:rPr>
      </w:pPr>
    </w:p>
    <w:p w:rsidR="00BB0041" w:rsidRDefault="00BB0041" w:rsidP="00BB0041">
      <w:pPr>
        <w:numPr>
          <w:ilvl w:val="0"/>
          <w:numId w:val="4"/>
        </w:numPr>
        <w:spacing w:before="240" w:after="200" w:line="276" w:lineRule="auto"/>
        <w:ind w:left="567" w:hanging="426"/>
        <w:rPr>
          <w:rFonts w:cstheme="minorHAnsi"/>
          <w:b/>
          <w:sz w:val="20"/>
          <w:szCs w:val="20"/>
        </w:rPr>
      </w:pPr>
      <w:r>
        <w:rPr>
          <w:rFonts w:cstheme="minorHAnsi"/>
          <w:b/>
          <w:sz w:val="20"/>
          <w:szCs w:val="20"/>
        </w:rPr>
        <w:t>Termin związania ofertą</w:t>
      </w:r>
    </w:p>
    <w:p w:rsidR="00BB0041" w:rsidRDefault="00BB0041" w:rsidP="00BB0041">
      <w:pPr>
        <w:autoSpaceDE w:val="0"/>
        <w:autoSpaceDN w:val="0"/>
        <w:adjustRightInd w:val="0"/>
        <w:jc w:val="both"/>
        <w:rPr>
          <w:rFonts w:cstheme="minorHAnsi"/>
          <w:sz w:val="20"/>
          <w:szCs w:val="20"/>
        </w:rPr>
      </w:pPr>
      <w:r>
        <w:rPr>
          <w:rFonts w:cstheme="minorHAnsi"/>
          <w:sz w:val="20"/>
          <w:szCs w:val="20"/>
        </w:rPr>
        <w:t>Oferent związany jest ofertą przez okres 30 dni od daty upływu terminu składania ofert. W uzasadnionych przypadkach za zgodą oferenta Organizator dopuszcza możliwość przedłużenia okresu związania ofertą.</w:t>
      </w:r>
    </w:p>
    <w:p w:rsidR="00BB0041" w:rsidRDefault="00BB0041" w:rsidP="00BB0041">
      <w:pPr>
        <w:numPr>
          <w:ilvl w:val="0"/>
          <w:numId w:val="4"/>
        </w:numPr>
        <w:spacing w:before="240" w:after="200" w:line="276" w:lineRule="auto"/>
        <w:ind w:left="567" w:hanging="535"/>
        <w:rPr>
          <w:rFonts w:cstheme="minorHAnsi"/>
          <w:b/>
          <w:sz w:val="20"/>
          <w:szCs w:val="20"/>
        </w:rPr>
      </w:pPr>
      <w:r>
        <w:rPr>
          <w:rFonts w:cstheme="minorHAnsi"/>
          <w:b/>
          <w:sz w:val="20"/>
          <w:szCs w:val="20"/>
        </w:rPr>
        <w:t>Okres związania umową</w:t>
      </w:r>
    </w:p>
    <w:p w:rsidR="00BB0041" w:rsidRDefault="00BB0041" w:rsidP="00BB0041">
      <w:pPr>
        <w:pStyle w:val="Tekstpodstawowy3"/>
        <w:autoSpaceDE w:val="0"/>
        <w:autoSpaceDN w:val="0"/>
        <w:adjustRightInd w:val="0"/>
        <w:spacing w:line="240" w:lineRule="auto"/>
        <w:jc w:val="both"/>
        <w:rPr>
          <w:rFonts w:asciiTheme="minorHAnsi" w:hAnsiTheme="minorHAnsi" w:cstheme="minorHAnsi"/>
          <w:sz w:val="20"/>
          <w:szCs w:val="20"/>
        </w:rPr>
      </w:pPr>
      <w:r>
        <w:rPr>
          <w:rFonts w:asciiTheme="minorHAnsi" w:hAnsiTheme="minorHAnsi" w:cstheme="minorHAnsi"/>
          <w:sz w:val="20"/>
          <w:szCs w:val="20"/>
        </w:rPr>
        <w:t>Oferent może złożyć ofertę na najem nieruchomości na okres nie dłuższy niż 10 lat i nie krótszy niż 3 lata.</w:t>
      </w:r>
    </w:p>
    <w:p w:rsidR="00BB0041" w:rsidRDefault="00BB0041" w:rsidP="00BB0041">
      <w:pPr>
        <w:numPr>
          <w:ilvl w:val="0"/>
          <w:numId w:val="4"/>
        </w:numPr>
        <w:spacing w:before="240" w:after="200" w:line="276" w:lineRule="auto"/>
        <w:ind w:left="567" w:hanging="535"/>
        <w:jc w:val="both"/>
        <w:rPr>
          <w:rFonts w:cstheme="minorHAnsi"/>
          <w:b/>
          <w:sz w:val="20"/>
          <w:szCs w:val="20"/>
        </w:rPr>
      </w:pPr>
      <w:r>
        <w:rPr>
          <w:rFonts w:cstheme="minorHAnsi"/>
          <w:b/>
          <w:sz w:val="20"/>
          <w:szCs w:val="20"/>
        </w:rPr>
        <w:t>Kryteria oceny ofert (Nr. Nazwa kryterium: Waga)</w:t>
      </w:r>
    </w:p>
    <w:p w:rsidR="00BB0041" w:rsidRDefault="00BB0041" w:rsidP="00BB0041">
      <w:pPr>
        <w:numPr>
          <w:ilvl w:val="0"/>
          <w:numId w:val="11"/>
        </w:numPr>
        <w:spacing w:after="200" w:line="240" w:lineRule="auto"/>
        <w:ind w:left="284" w:hanging="284"/>
        <w:jc w:val="both"/>
        <w:rPr>
          <w:rFonts w:cstheme="minorHAnsi"/>
          <w:sz w:val="20"/>
          <w:szCs w:val="20"/>
        </w:rPr>
      </w:pPr>
      <w:r>
        <w:rPr>
          <w:rFonts w:cstheme="minorHAnsi"/>
          <w:sz w:val="20"/>
          <w:szCs w:val="20"/>
        </w:rPr>
        <w:t>oferowana cena wynajmu nieruchomości – 60%</w:t>
      </w:r>
    </w:p>
    <w:p w:rsidR="00BB0041" w:rsidRDefault="00BB0041" w:rsidP="00BB0041">
      <w:pPr>
        <w:numPr>
          <w:ilvl w:val="0"/>
          <w:numId w:val="11"/>
        </w:numPr>
        <w:spacing w:after="200" w:line="240" w:lineRule="auto"/>
        <w:ind w:left="284" w:hanging="284"/>
        <w:jc w:val="both"/>
        <w:rPr>
          <w:rFonts w:cstheme="minorHAnsi"/>
          <w:sz w:val="20"/>
          <w:szCs w:val="20"/>
        </w:rPr>
      </w:pPr>
      <w:r>
        <w:rPr>
          <w:rFonts w:cstheme="minorHAnsi"/>
          <w:sz w:val="20"/>
          <w:szCs w:val="20"/>
        </w:rPr>
        <w:t>planowana wielkość zatrudnienia – 20%</w:t>
      </w:r>
    </w:p>
    <w:p w:rsidR="00BB0041" w:rsidRDefault="00BB0041" w:rsidP="00BB0041">
      <w:pPr>
        <w:numPr>
          <w:ilvl w:val="0"/>
          <w:numId w:val="11"/>
        </w:numPr>
        <w:spacing w:after="200" w:line="240" w:lineRule="auto"/>
        <w:ind w:left="284" w:hanging="284"/>
        <w:jc w:val="both"/>
        <w:rPr>
          <w:rFonts w:cstheme="minorHAnsi"/>
          <w:sz w:val="20"/>
          <w:szCs w:val="20"/>
        </w:rPr>
      </w:pPr>
      <w:r>
        <w:rPr>
          <w:rFonts w:cstheme="minorHAnsi"/>
          <w:sz w:val="20"/>
          <w:szCs w:val="20"/>
        </w:rPr>
        <w:t>innowacyjność przedsięwzięcia gospodarczego – 10%</w:t>
      </w:r>
    </w:p>
    <w:p w:rsidR="00BB0041" w:rsidRDefault="00BB0041" w:rsidP="00BB0041">
      <w:pPr>
        <w:numPr>
          <w:ilvl w:val="0"/>
          <w:numId w:val="11"/>
        </w:numPr>
        <w:spacing w:after="200" w:line="240" w:lineRule="auto"/>
        <w:ind w:left="284" w:hanging="284"/>
        <w:jc w:val="both"/>
        <w:rPr>
          <w:rFonts w:cstheme="minorHAnsi"/>
          <w:sz w:val="20"/>
          <w:szCs w:val="20"/>
        </w:rPr>
      </w:pPr>
      <w:r>
        <w:rPr>
          <w:rFonts w:cstheme="minorHAnsi"/>
          <w:sz w:val="20"/>
          <w:szCs w:val="20"/>
        </w:rPr>
        <w:t>planowana wielkość nakładów inwestycyjnych – 10%</w:t>
      </w:r>
    </w:p>
    <w:p w:rsidR="00BB0041" w:rsidRPr="00766AD7" w:rsidRDefault="00BB0041" w:rsidP="00BB0041">
      <w:pPr>
        <w:spacing w:after="200" w:line="240" w:lineRule="auto"/>
        <w:ind w:left="284"/>
        <w:jc w:val="both"/>
        <w:rPr>
          <w:rFonts w:cstheme="minorHAnsi"/>
          <w:sz w:val="20"/>
          <w:szCs w:val="20"/>
        </w:rPr>
      </w:pPr>
    </w:p>
    <w:p w:rsidR="00BB0041" w:rsidRDefault="00BB0041" w:rsidP="00BB0041">
      <w:pPr>
        <w:jc w:val="both"/>
        <w:rPr>
          <w:rFonts w:cstheme="minorHAnsi"/>
          <w:snapToGrid w:val="0"/>
          <w:sz w:val="20"/>
          <w:szCs w:val="20"/>
        </w:rPr>
      </w:pPr>
      <w:r>
        <w:rPr>
          <w:rStyle w:val="Pogrubienie"/>
          <w:rFonts w:cstheme="minorHAnsi"/>
          <w:snapToGrid w:val="0"/>
          <w:sz w:val="20"/>
          <w:szCs w:val="20"/>
        </w:rPr>
        <w:t>W przypadku wpłynięcia więcej niż jednej oferty, Komisja rozpatrując oferty dokonuje porównawczej oceny przedłożonych ofert – spełniających kryteria formalne – według następujących kryteriów i zasad:</w:t>
      </w:r>
    </w:p>
    <w:tbl>
      <w:tblPr>
        <w:tblW w:w="92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55"/>
        <w:gridCol w:w="5224"/>
        <w:gridCol w:w="2831"/>
      </w:tblGrid>
      <w:tr w:rsidR="00BB0041" w:rsidTr="008C54DC">
        <w:tc>
          <w:tcPr>
            <w:tcW w:w="1155" w:type="dxa"/>
            <w:tcBorders>
              <w:top w:val="single" w:sz="4" w:space="0" w:color="auto"/>
              <w:left w:val="single" w:sz="4" w:space="0" w:color="auto"/>
              <w:bottom w:val="single" w:sz="4" w:space="0" w:color="auto"/>
              <w:right w:val="single" w:sz="4" w:space="0" w:color="auto"/>
            </w:tcBorders>
            <w:hideMark/>
          </w:tcPr>
          <w:p w:rsidR="00BB0041" w:rsidRDefault="00BB0041" w:rsidP="008C54DC">
            <w:pPr>
              <w:ind w:left="142"/>
              <w:rPr>
                <w:rFonts w:cstheme="minorHAnsi"/>
                <w:snapToGrid w:val="0"/>
                <w:sz w:val="20"/>
                <w:szCs w:val="20"/>
              </w:rPr>
            </w:pPr>
            <w:r>
              <w:rPr>
                <w:rStyle w:val="Pogrubienie"/>
                <w:rFonts w:cstheme="minorHAnsi"/>
                <w:snapToGrid w:val="0"/>
                <w:sz w:val="20"/>
                <w:szCs w:val="20"/>
              </w:rPr>
              <w:t>Nr kryterium</w:t>
            </w:r>
          </w:p>
        </w:tc>
        <w:tc>
          <w:tcPr>
            <w:tcW w:w="5224" w:type="dxa"/>
            <w:tcBorders>
              <w:top w:val="single" w:sz="4" w:space="0" w:color="auto"/>
              <w:left w:val="single" w:sz="4" w:space="0" w:color="auto"/>
              <w:bottom w:val="single" w:sz="4" w:space="0" w:color="auto"/>
              <w:right w:val="single" w:sz="4" w:space="0" w:color="auto"/>
            </w:tcBorders>
            <w:hideMark/>
          </w:tcPr>
          <w:p w:rsidR="00BB0041" w:rsidRDefault="00BB0041" w:rsidP="008C54DC">
            <w:pPr>
              <w:ind w:left="142"/>
              <w:rPr>
                <w:rFonts w:cstheme="minorHAnsi"/>
                <w:snapToGrid w:val="0"/>
                <w:sz w:val="20"/>
                <w:szCs w:val="20"/>
              </w:rPr>
            </w:pPr>
            <w:r>
              <w:rPr>
                <w:rStyle w:val="Pogrubienie"/>
                <w:rFonts w:cstheme="minorHAnsi"/>
                <w:snapToGrid w:val="0"/>
                <w:sz w:val="20"/>
                <w:szCs w:val="20"/>
              </w:rPr>
              <w:t>Kryterium</w:t>
            </w:r>
          </w:p>
        </w:tc>
        <w:tc>
          <w:tcPr>
            <w:tcW w:w="2831" w:type="dxa"/>
            <w:tcBorders>
              <w:top w:val="single" w:sz="4" w:space="0" w:color="auto"/>
              <w:left w:val="single" w:sz="4" w:space="0" w:color="auto"/>
              <w:bottom w:val="single" w:sz="4" w:space="0" w:color="auto"/>
              <w:right w:val="single" w:sz="4" w:space="0" w:color="auto"/>
            </w:tcBorders>
            <w:hideMark/>
          </w:tcPr>
          <w:p w:rsidR="00BB0041" w:rsidRDefault="00BB0041" w:rsidP="008C54DC">
            <w:pPr>
              <w:ind w:left="142"/>
              <w:rPr>
                <w:rFonts w:cstheme="minorHAnsi"/>
                <w:snapToGrid w:val="0"/>
                <w:sz w:val="20"/>
                <w:szCs w:val="20"/>
              </w:rPr>
            </w:pPr>
            <w:r>
              <w:rPr>
                <w:rStyle w:val="Pogrubienie"/>
                <w:rFonts w:cstheme="minorHAnsi"/>
                <w:snapToGrid w:val="0"/>
                <w:sz w:val="20"/>
                <w:szCs w:val="20"/>
              </w:rPr>
              <w:t>Maksymalna liczba punktów za spełnienie kryterium</w:t>
            </w:r>
          </w:p>
        </w:tc>
      </w:tr>
      <w:tr w:rsidR="00BB0041" w:rsidTr="008C54DC">
        <w:tc>
          <w:tcPr>
            <w:tcW w:w="1155" w:type="dxa"/>
            <w:tcBorders>
              <w:top w:val="single" w:sz="4" w:space="0" w:color="auto"/>
              <w:left w:val="single" w:sz="4" w:space="0" w:color="auto"/>
              <w:bottom w:val="single" w:sz="4" w:space="0" w:color="auto"/>
              <w:right w:val="single" w:sz="4" w:space="0" w:color="auto"/>
            </w:tcBorders>
          </w:tcPr>
          <w:p w:rsidR="00BB0041" w:rsidRDefault="00BB0041" w:rsidP="00BB0041">
            <w:pPr>
              <w:numPr>
                <w:ilvl w:val="0"/>
                <w:numId w:val="12"/>
              </w:numPr>
              <w:spacing w:after="0" w:line="240" w:lineRule="auto"/>
              <w:jc w:val="center"/>
              <w:rPr>
                <w:rFonts w:cstheme="minorHAnsi"/>
                <w:snapToGrid w:val="0"/>
                <w:sz w:val="20"/>
                <w:szCs w:val="20"/>
              </w:rPr>
            </w:pPr>
          </w:p>
        </w:tc>
        <w:tc>
          <w:tcPr>
            <w:tcW w:w="5224" w:type="dxa"/>
            <w:tcBorders>
              <w:top w:val="single" w:sz="4" w:space="0" w:color="auto"/>
              <w:left w:val="single" w:sz="4" w:space="0" w:color="auto"/>
              <w:bottom w:val="single" w:sz="4" w:space="0" w:color="auto"/>
              <w:right w:val="single" w:sz="4" w:space="0" w:color="auto"/>
            </w:tcBorders>
            <w:hideMark/>
          </w:tcPr>
          <w:p w:rsidR="00BB0041" w:rsidRPr="00766AD7" w:rsidRDefault="00BB0041" w:rsidP="008C54DC">
            <w:pPr>
              <w:ind w:left="121"/>
              <w:rPr>
                <w:rFonts w:cstheme="minorHAnsi"/>
                <w:b/>
                <w:snapToGrid w:val="0"/>
                <w:sz w:val="20"/>
                <w:szCs w:val="20"/>
              </w:rPr>
            </w:pPr>
            <w:r w:rsidRPr="00766AD7">
              <w:rPr>
                <w:rStyle w:val="Pogrubienie"/>
                <w:rFonts w:cstheme="minorHAnsi"/>
                <w:snapToGrid w:val="0"/>
                <w:sz w:val="20"/>
                <w:szCs w:val="20"/>
              </w:rPr>
              <w:t xml:space="preserve">oferowana cena wynajmu nieruchomości </w:t>
            </w:r>
          </w:p>
        </w:tc>
        <w:tc>
          <w:tcPr>
            <w:tcW w:w="2831" w:type="dxa"/>
            <w:tcBorders>
              <w:top w:val="single" w:sz="4" w:space="0" w:color="auto"/>
              <w:left w:val="single" w:sz="4" w:space="0" w:color="auto"/>
              <w:bottom w:val="single" w:sz="4" w:space="0" w:color="auto"/>
              <w:right w:val="single" w:sz="4" w:space="0" w:color="auto"/>
            </w:tcBorders>
            <w:vAlign w:val="center"/>
            <w:hideMark/>
          </w:tcPr>
          <w:p w:rsidR="00BB0041" w:rsidRDefault="00BB0041" w:rsidP="008C54DC">
            <w:pPr>
              <w:jc w:val="center"/>
              <w:rPr>
                <w:rFonts w:cstheme="minorHAnsi"/>
                <w:snapToGrid w:val="0"/>
                <w:sz w:val="20"/>
                <w:szCs w:val="20"/>
              </w:rPr>
            </w:pPr>
            <w:r>
              <w:rPr>
                <w:rFonts w:cstheme="minorHAnsi"/>
                <w:snapToGrid w:val="0"/>
                <w:sz w:val="20"/>
                <w:szCs w:val="20"/>
              </w:rPr>
              <w:t>60</w:t>
            </w:r>
          </w:p>
        </w:tc>
      </w:tr>
      <w:tr w:rsidR="00BB0041" w:rsidTr="008C54DC">
        <w:tc>
          <w:tcPr>
            <w:tcW w:w="1155" w:type="dxa"/>
            <w:tcBorders>
              <w:top w:val="single" w:sz="4" w:space="0" w:color="auto"/>
              <w:left w:val="single" w:sz="4" w:space="0" w:color="auto"/>
              <w:bottom w:val="single" w:sz="4" w:space="0" w:color="auto"/>
              <w:right w:val="single" w:sz="4" w:space="0" w:color="auto"/>
            </w:tcBorders>
          </w:tcPr>
          <w:p w:rsidR="00BB0041" w:rsidRDefault="00BB0041" w:rsidP="00BB0041">
            <w:pPr>
              <w:numPr>
                <w:ilvl w:val="0"/>
                <w:numId w:val="12"/>
              </w:numPr>
              <w:spacing w:after="0" w:line="240" w:lineRule="auto"/>
              <w:jc w:val="center"/>
              <w:rPr>
                <w:rFonts w:cstheme="minorHAnsi"/>
                <w:snapToGrid w:val="0"/>
                <w:sz w:val="20"/>
                <w:szCs w:val="20"/>
              </w:rPr>
            </w:pPr>
          </w:p>
        </w:tc>
        <w:tc>
          <w:tcPr>
            <w:tcW w:w="5224" w:type="dxa"/>
            <w:tcBorders>
              <w:top w:val="single" w:sz="4" w:space="0" w:color="auto"/>
              <w:left w:val="single" w:sz="4" w:space="0" w:color="auto"/>
              <w:bottom w:val="single" w:sz="4" w:space="0" w:color="auto"/>
              <w:right w:val="single" w:sz="4" w:space="0" w:color="auto"/>
            </w:tcBorders>
            <w:hideMark/>
          </w:tcPr>
          <w:p w:rsidR="00BB0041" w:rsidRPr="00766AD7" w:rsidRDefault="00BB0041" w:rsidP="008C54DC">
            <w:pPr>
              <w:ind w:left="121"/>
              <w:rPr>
                <w:rFonts w:cstheme="minorHAnsi"/>
                <w:b/>
                <w:snapToGrid w:val="0"/>
                <w:sz w:val="20"/>
                <w:szCs w:val="20"/>
              </w:rPr>
            </w:pPr>
            <w:r w:rsidRPr="00766AD7">
              <w:rPr>
                <w:rStyle w:val="Pogrubienie"/>
                <w:rFonts w:cstheme="minorHAnsi"/>
                <w:snapToGrid w:val="0"/>
                <w:sz w:val="20"/>
                <w:szCs w:val="20"/>
              </w:rPr>
              <w:t xml:space="preserve">planowana wielkość zatrudnienia (utworzenia nowych miejsc pracy) </w:t>
            </w:r>
          </w:p>
        </w:tc>
        <w:tc>
          <w:tcPr>
            <w:tcW w:w="2831" w:type="dxa"/>
            <w:tcBorders>
              <w:top w:val="single" w:sz="4" w:space="0" w:color="auto"/>
              <w:left w:val="single" w:sz="4" w:space="0" w:color="auto"/>
              <w:bottom w:val="single" w:sz="4" w:space="0" w:color="auto"/>
              <w:right w:val="single" w:sz="4" w:space="0" w:color="auto"/>
            </w:tcBorders>
            <w:vAlign w:val="center"/>
            <w:hideMark/>
          </w:tcPr>
          <w:p w:rsidR="00BB0041" w:rsidRDefault="00BB0041" w:rsidP="008C54DC">
            <w:pPr>
              <w:jc w:val="center"/>
              <w:rPr>
                <w:rFonts w:cstheme="minorHAnsi"/>
                <w:snapToGrid w:val="0"/>
                <w:sz w:val="20"/>
                <w:szCs w:val="20"/>
              </w:rPr>
            </w:pPr>
            <w:r>
              <w:rPr>
                <w:rFonts w:cstheme="minorHAnsi"/>
                <w:snapToGrid w:val="0"/>
                <w:sz w:val="20"/>
                <w:szCs w:val="20"/>
              </w:rPr>
              <w:t>20</w:t>
            </w:r>
          </w:p>
        </w:tc>
      </w:tr>
      <w:tr w:rsidR="00BB0041" w:rsidTr="008C54DC">
        <w:tc>
          <w:tcPr>
            <w:tcW w:w="1155" w:type="dxa"/>
            <w:tcBorders>
              <w:top w:val="single" w:sz="4" w:space="0" w:color="auto"/>
              <w:left w:val="single" w:sz="4" w:space="0" w:color="auto"/>
              <w:bottom w:val="single" w:sz="4" w:space="0" w:color="auto"/>
              <w:right w:val="single" w:sz="4" w:space="0" w:color="auto"/>
            </w:tcBorders>
          </w:tcPr>
          <w:p w:rsidR="00BB0041" w:rsidRDefault="00BB0041" w:rsidP="00BB0041">
            <w:pPr>
              <w:numPr>
                <w:ilvl w:val="0"/>
                <w:numId w:val="12"/>
              </w:numPr>
              <w:spacing w:after="0" w:line="240" w:lineRule="auto"/>
              <w:jc w:val="center"/>
              <w:rPr>
                <w:rFonts w:cstheme="minorHAnsi"/>
                <w:snapToGrid w:val="0"/>
                <w:sz w:val="20"/>
                <w:szCs w:val="20"/>
              </w:rPr>
            </w:pPr>
          </w:p>
        </w:tc>
        <w:tc>
          <w:tcPr>
            <w:tcW w:w="5224" w:type="dxa"/>
            <w:tcBorders>
              <w:top w:val="single" w:sz="4" w:space="0" w:color="auto"/>
              <w:left w:val="single" w:sz="4" w:space="0" w:color="auto"/>
              <w:bottom w:val="single" w:sz="4" w:space="0" w:color="auto"/>
              <w:right w:val="single" w:sz="4" w:space="0" w:color="auto"/>
            </w:tcBorders>
            <w:hideMark/>
          </w:tcPr>
          <w:p w:rsidR="00BB0041" w:rsidRDefault="00BB0041" w:rsidP="008C54DC">
            <w:pPr>
              <w:ind w:left="121"/>
              <w:rPr>
                <w:rFonts w:cstheme="minorHAnsi"/>
                <w:snapToGrid w:val="0"/>
                <w:sz w:val="20"/>
                <w:szCs w:val="20"/>
              </w:rPr>
            </w:pPr>
            <w:r>
              <w:rPr>
                <w:rFonts w:cstheme="minorHAnsi"/>
                <w:sz w:val="20"/>
                <w:szCs w:val="20"/>
              </w:rPr>
              <w:t>innowacyjność przedsięwzięcia gospodarczego</w:t>
            </w:r>
          </w:p>
        </w:tc>
        <w:tc>
          <w:tcPr>
            <w:tcW w:w="2831" w:type="dxa"/>
            <w:tcBorders>
              <w:top w:val="single" w:sz="4" w:space="0" w:color="auto"/>
              <w:left w:val="single" w:sz="4" w:space="0" w:color="auto"/>
              <w:bottom w:val="single" w:sz="4" w:space="0" w:color="auto"/>
              <w:right w:val="single" w:sz="4" w:space="0" w:color="auto"/>
            </w:tcBorders>
            <w:vAlign w:val="center"/>
            <w:hideMark/>
          </w:tcPr>
          <w:p w:rsidR="00BB0041" w:rsidRDefault="00BB0041" w:rsidP="008C54DC">
            <w:pPr>
              <w:jc w:val="center"/>
              <w:rPr>
                <w:rFonts w:cstheme="minorHAnsi"/>
                <w:snapToGrid w:val="0"/>
                <w:sz w:val="20"/>
                <w:szCs w:val="20"/>
              </w:rPr>
            </w:pPr>
            <w:r>
              <w:rPr>
                <w:rFonts w:cstheme="minorHAnsi"/>
                <w:snapToGrid w:val="0"/>
                <w:sz w:val="20"/>
                <w:szCs w:val="20"/>
              </w:rPr>
              <w:t>10</w:t>
            </w:r>
          </w:p>
        </w:tc>
      </w:tr>
      <w:tr w:rsidR="00BB0041" w:rsidTr="008C54DC">
        <w:tc>
          <w:tcPr>
            <w:tcW w:w="1155" w:type="dxa"/>
            <w:tcBorders>
              <w:top w:val="single" w:sz="4" w:space="0" w:color="auto"/>
              <w:left w:val="single" w:sz="4" w:space="0" w:color="auto"/>
              <w:bottom w:val="single" w:sz="4" w:space="0" w:color="auto"/>
              <w:right w:val="single" w:sz="4" w:space="0" w:color="auto"/>
            </w:tcBorders>
          </w:tcPr>
          <w:p w:rsidR="00BB0041" w:rsidRDefault="00BB0041" w:rsidP="00BB0041">
            <w:pPr>
              <w:numPr>
                <w:ilvl w:val="0"/>
                <w:numId w:val="12"/>
              </w:numPr>
              <w:spacing w:after="0" w:line="240" w:lineRule="auto"/>
              <w:jc w:val="center"/>
              <w:rPr>
                <w:rFonts w:cstheme="minorHAnsi"/>
                <w:snapToGrid w:val="0"/>
                <w:sz w:val="20"/>
                <w:szCs w:val="20"/>
              </w:rPr>
            </w:pPr>
          </w:p>
        </w:tc>
        <w:tc>
          <w:tcPr>
            <w:tcW w:w="5224" w:type="dxa"/>
            <w:tcBorders>
              <w:top w:val="single" w:sz="4" w:space="0" w:color="auto"/>
              <w:left w:val="single" w:sz="4" w:space="0" w:color="auto"/>
              <w:bottom w:val="single" w:sz="4" w:space="0" w:color="auto"/>
              <w:right w:val="single" w:sz="4" w:space="0" w:color="auto"/>
            </w:tcBorders>
            <w:hideMark/>
          </w:tcPr>
          <w:p w:rsidR="00BB0041" w:rsidRDefault="00BB0041" w:rsidP="008C54DC">
            <w:pPr>
              <w:ind w:left="121"/>
              <w:rPr>
                <w:rFonts w:cstheme="minorHAnsi"/>
                <w:snapToGrid w:val="0"/>
                <w:sz w:val="20"/>
                <w:szCs w:val="20"/>
              </w:rPr>
            </w:pPr>
            <w:r>
              <w:rPr>
                <w:rFonts w:cstheme="minorHAnsi"/>
                <w:sz w:val="20"/>
                <w:szCs w:val="20"/>
              </w:rPr>
              <w:t>planowana wielkość nakładów inwestycyjnych</w:t>
            </w:r>
          </w:p>
        </w:tc>
        <w:tc>
          <w:tcPr>
            <w:tcW w:w="2831" w:type="dxa"/>
            <w:tcBorders>
              <w:top w:val="single" w:sz="4" w:space="0" w:color="auto"/>
              <w:left w:val="single" w:sz="4" w:space="0" w:color="auto"/>
              <w:bottom w:val="single" w:sz="4" w:space="0" w:color="auto"/>
              <w:right w:val="single" w:sz="4" w:space="0" w:color="auto"/>
            </w:tcBorders>
            <w:vAlign w:val="center"/>
            <w:hideMark/>
          </w:tcPr>
          <w:p w:rsidR="00BB0041" w:rsidRDefault="00BB0041" w:rsidP="008C54DC">
            <w:pPr>
              <w:jc w:val="center"/>
              <w:rPr>
                <w:rFonts w:cstheme="minorHAnsi"/>
                <w:snapToGrid w:val="0"/>
                <w:sz w:val="20"/>
                <w:szCs w:val="20"/>
              </w:rPr>
            </w:pPr>
            <w:r>
              <w:rPr>
                <w:rFonts w:cstheme="minorHAnsi"/>
                <w:snapToGrid w:val="0"/>
                <w:sz w:val="20"/>
                <w:szCs w:val="20"/>
              </w:rPr>
              <w:t>10</w:t>
            </w:r>
          </w:p>
        </w:tc>
      </w:tr>
    </w:tbl>
    <w:p w:rsidR="00BB0041" w:rsidRDefault="00BB0041" w:rsidP="00BB0041">
      <w:pPr>
        <w:jc w:val="both"/>
        <w:rPr>
          <w:rFonts w:cstheme="minorHAnsi"/>
          <w:sz w:val="20"/>
          <w:szCs w:val="20"/>
        </w:rPr>
      </w:pPr>
      <w:r>
        <w:rPr>
          <w:rFonts w:cstheme="minorHAnsi"/>
          <w:sz w:val="20"/>
          <w:szCs w:val="20"/>
        </w:rPr>
        <w:br/>
        <w:t>Punkty przyznawane za podane w pkt. IX kryteria będą liczone według następujących wzorów:</w:t>
      </w:r>
    </w:p>
    <w:p w:rsidR="00BB0041" w:rsidRDefault="00BB0041" w:rsidP="00BB0041">
      <w:pPr>
        <w:numPr>
          <w:ilvl w:val="0"/>
          <w:numId w:val="13"/>
        </w:numPr>
        <w:spacing w:after="0" w:line="276" w:lineRule="auto"/>
        <w:jc w:val="both"/>
        <w:rPr>
          <w:rFonts w:cstheme="minorHAnsi"/>
          <w:sz w:val="20"/>
          <w:szCs w:val="20"/>
        </w:rPr>
      </w:pPr>
      <w:r>
        <w:rPr>
          <w:rFonts w:cstheme="minorHAnsi"/>
          <w:sz w:val="20"/>
          <w:szCs w:val="20"/>
        </w:rPr>
        <w:t xml:space="preserve">Cena – oferowana wysokość stawki wynajmu nieruchomości netto za metr kwadratowy miesięcznie (bez opłat za media). </w:t>
      </w:r>
    </w:p>
    <w:p w:rsidR="00BB0041" w:rsidRDefault="00BB0041" w:rsidP="00BB0041">
      <w:pPr>
        <w:spacing w:after="0"/>
        <w:ind w:left="720"/>
        <w:jc w:val="both"/>
        <w:rPr>
          <w:rFonts w:cstheme="minorHAnsi"/>
          <w:sz w:val="20"/>
          <w:szCs w:val="20"/>
        </w:rPr>
      </w:pPr>
      <w:r>
        <w:rPr>
          <w:rFonts w:cstheme="minorHAnsi"/>
          <w:sz w:val="20"/>
          <w:szCs w:val="20"/>
        </w:rPr>
        <w:t>Liczba punktów = (</w:t>
      </w:r>
      <w:proofErr w:type="spellStart"/>
      <w:r>
        <w:rPr>
          <w:rFonts w:cstheme="minorHAnsi"/>
          <w:sz w:val="20"/>
          <w:szCs w:val="20"/>
        </w:rPr>
        <w:t>Cof</w:t>
      </w:r>
      <w:proofErr w:type="spellEnd"/>
      <w:r>
        <w:rPr>
          <w:rFonts w:cstheme="minorHAnsi"/>
          <w:sz w:val="20"/>
          <w:szCs w:val="20"/>
        </w:rPr>
        <w:t>/</w:t>
      </w:r>
      <w:proofErr w:type="spellStart"/>
      <w:r>
        <w:rPr>
          <w:rFonts w:cstheme="minorHAnsi"/>
          <w:sz w:val="20"/>
          <w:szCs w:val="20"/>
        </w:rPr>
        <w:t>Cmax</w:t>
      </w:r>
      <w:proofErr w:type="spellEnd"/>
      <w:r>
        <w:rPr>
          <w:rFonts w:cstheme="minorHAnsi"/>
          <w:sz w:val="20"/>
          <w:szCs w:val="20"/>
        </w:rPr>
        <w:t>) x 100 x waga 60%</w:t>
      </w:r>
    </w:p>
    <w:p w:rsidR="00BB0041" w:rsidRDefault="00BB0041" w:rsidP="00BB0041">
      <w:pPr>
        <w:spacing w:after="0"/>
        <w:ind w:left="720"/>
        <w:jc w:val="both"/>
        <w:rPr>
          <w:rFonts w:cstheme="minorHAnsi"/>
          <w:sz w:val="20"/>
          <w:szCs w:val="20"/>
        </w:rPr>
      </w:pPr>
      <w:r>
        <w:rPr>
          <w:rFonts w:cstheme="minorHAnsi"/>
          <w:sz w:val="20"/>
          <w:szCs w:val="20"/>
        </w:rPr>
        <w:t>Gdzie:</w:t>
      </w:r>
    </w:p>
    <w:p w:rsidR="00BB0041" w:rsidRDefault="00BB0041" w:rsidP="00BB0041">
      <w:pPr>
        <w:spacing w:after="0"/>
        <w:ind w:left="720"/>
        <w:jc w:val="both"/>
        <w:rPr>
          <w:rFonts w:cstheme="minorHAnsi"/>
          <w:sz w:val="20"/>
          <w:szCs w:val="20"/>
        </w:rPr>
      </w:pPr>
      <w:r>
        <w:rPr>
          <w:rFonts w:cstheme="minorHAnsi"/>
          <w:sz w:val="20"/>
          <w:szCs w:val="20"/>
        </w:rPr>
        <w:t xml:space="preserve">- </w:t>
      </w:r>
      <w:proofErr w:type="spellStart"/>
      <w:r>
        <w:rPr>
          <w:rFonts w:cstheme="minorHAnsi"/>
          <w:sz w:val="20"/>
          <w:szCs w:val="20"/>
        </w:rPr>
        <w:t>Cof</w:t>
      </w:r>
      <w:proofErr w:type="spellEnd"/>
      <w:r>
        <w:rPr>
          <w:rFonts w:cstheme="minorHAnsi"/>
          <w:sz w:val="20"/>
          <w:szCs w:val="20"/>
        </w:rPr>
        <w:t xml:space="preserve"> - cena podana w ofercie</w:t>
      </w:r>
    </w:p>
    <w:p w:rsidR="00BB0041" w:rsidRDefault="00BB0041" w:rsidP="00BB0041">
      <w:pPr>
        <w:spacing w:after="0"/>
        <w:ind w:left="720"/>
        <w:jc w:val="both"/>
        <w:rPr>
          <w:rFonts w:cstheme="minorHAnsi"/>
          <w:sz w:val="20"/>
          <w:szCs w:val="20"/>
        </w:rPr>
      </w:pPr>
      <w:r>
        <w:rPr>
          <w:rFonts w:cstheme="minorHAnsi"/>
          <w:sz w:val="20"/>
          <w:szCs w:val="20"/>
        </w:rPr>
        <w:t xml:space="preserve">- </w:t>
      </w:r>
      <w:proofErr w:type="spellStart"/>
      <w:r>
        <w:rPr>
          <w:rFonts w:cstheme="minorHAnsi"/>
          <w:sz w:val="20"/>
          <w:szCs w:val="20"/>
        </w:rPr>
        <w:t>Cmax</w:t>
      </w:r>
      <w:proofErr w:type="spellEnd"/>
      <w:r>
        <w:rPr>
          <w:rFonts w:cstheme="minorHAnsi"/>
          <w:sz w:val="20"/>
          <w:szCs w:val="20"/>
        </w:rPr>
        <w:t xml:space="preserve"> - cena najwyższa spośród wszystkich ofert</w:t>
      </w:r>
    </w:p>
    <w:p w:rsidR="00BB0041" w:rsidRDefault="00BB0041" w:rsidP="00BB0041">
      <w:pPr>
        <w:spacing w:after="0"/>
        <w:ind w:left="720"/>
        <w:jc w:val="both"/>
        <w:rPr>
          <w:rFonts w:cstheme="minorHAnsi"/>
          <w:sz w:val="20"/>
          <w:szCs w:val="20"/>
        </w:rPr>
      </w:pPr>
    </w:p>
    <w:p w:rsidR="00BB0041" w:rsidRDefault="00BB0041" w:rsidP="00BB0041">
      <w:pPr>
        <w:spacing w:after="0"/>
        <w:ind w:left="720"/>
        <w:jc w:val="both"/>
        <w:rPr>
          <w:rFonts w:cstheme="minorHAnsi"/>
          <w:sz w:val="20"/>
          <w:szCs w:val="20"/>
        </w:rPr>
      </w:pPr>
    </w:p>
    <w:p w:rsidR="00BB0041" w:rsidRDefault="00BB0041" w:rsidP="00BB0041">
      <w:pPr>
        <w:spacing w:after="0"/>
        <w:ind w:left="720"/>
        <w:jc w:val="both"/>
        <w:rPr>
          <w:rFonts w:cstheme="minorHAnsi"/>
          <w:sz w:val="20"/>
          <w:szCs w:val="20"/>
        </w:rPr>
      </w:pPr>
    </w:p>
    <w:p w:rsidR="00BB0041" w:rsidRPr="00461CC6" w:rsidRDefault="00BB0041" w:rsidP="00BB0041">
      <w:pPr>
        <w:pStyle w:val="Akapitzlist"/>
        <w:numPr>
          <w:ilvl w:val="0"/>
          <w:numId w:val="13"/>
        </w:numPr>
        <w:spacing w:after="0"/>
        <w:jc w:val="both"/>
        <w:rPr>
          <w:rFonts w:cstheme="minorHAnsi"/>
          <w:sz w:val="20"/>
          <w:szCs w:val="20"/>
        </w:rPr>
      </w:pPr>
      <w:r w:rsidRPr="00461CC6">
        <w:rPr>
          <w:rFonts w:cstheme="minorHAnsi"/>
          <w:sz w:val="20"/>
          <w:szCs w:val="20"/>
        </w:rPr>
        <w:t>Planowana wielkość zatrudnienia (narastająco).</w:t>
      </w:r>
    </w:p>
    <w:p w:rsidR="00BB0041" w:rsidRPr="00461CC6" w:rsidRDefault="00BB0041" w:rsidP="00BB0041">
      <w:pPr>
        <w:pStyle w:val="Akapitzlist"/>
        <w:spacing w:after="0"/>
        <w:jc w:val="both"/>
        <w:rPr>
          <w:rFonts w:cstheme="minorHAnsi"/>
          <w:sz w:val="20"/>
          <w:szCs w:val="20"/>
        </w:rPr>
      </w:pPr>
      <w:r>
        <w:rPr>
          <w:rFonts w:cstheme="minorHAnsi"/>
          <w:sz w:val="20"/>
          <w:szCs w:val="20"/>
        </w:rPr>
        <w:t>Liczba punktów 20.</w:t>
      </w:r>
    </w:p>
    <w:p w:rsidR="00BB0041" w:rsidRDefault="00BB0041" w:rsidP="00BB0041">
      <w:pPr>
        <w:spacing w:after="0"/>
        <w:ind w:left="709" w:hanging="1"/>
        <w:jc w:val="both"/>
        <w:rPr>
          <w:rFonts w:cstheme="minorHAnsi"/>
          <w:sz w:val="20"/>
          <w:szCs w:val="20"/>
        </w:rPr>
      </w:pPr>
      <w:r>
        <w:rPr>
          <w:rFonts w:cstheme="minorHAnsi"/>
          <w:sz w:val="20"/>
          <w:szCs w:val="20"/>
        </w:rPr>
        <w:lastRenderedPageBreak/>
        <w:t>Liczba punktów = (</w:t>
      </w:r>
      <w:proofErr w:type="spellStart"/>
      <w:r>
        <w:rPr>
          <w:rFonts w:cstheme="minorHAnsi"/>
          <w:sz w:val="20"/>
          <w:szCs w:val="20"/>
        </w:rPr>
        <w:t>Zof</w:t>
      </w:r>
      <w:proofErr w:type="spellEnd"/>
      <w:r>
        <w:rPr>
          <w:rFonts w:cstheme="minorHAnsi"/>
          <w:sz w:val="20"/>
          <w:szCs w:val="20"/>
        </w:rPr>
        <w:t>/</w:t>
      </w:r>
      <w:proofErr w:type="spellStart"/>
      <w:r>
        <w:rPr>
          <w:rFonts w:cstheme="minorHAnsi"/>
          <w:sz w:val="20"/>
          <w:szCs w:val="20"/>
        </w:rPr>
        <w:t>Zmax</w:t>
      </w:r>
      <w:proofErr w:type="spellEnd"/>
      <w:r>
        <w:rPr>
          <w:rFonts w:cstheme="minorHAnsi"/>
          <w:sz w:val="20"/>
          <w:szCs w:val="20"/>
        </w:rPr>
        <w:t>)x100xwaga 20%</w:t>
      </w:r>
    </w:p>
    <w:p w:rsidR="00BB0041" w:rsidRDefault="00BB0041" w:rsidP="00BB0041">
      <w:pPr>
        <w:spacing w:after="0"/>
        <w:ind w:left="709" w:hanging="1"/>
        <w:jc w:val="both"/>
        <w:rPr>
          <w:rFonts w:cstheme="minorHAnsi"/>
          <w:sz w:val="20"/>
          <w:szCs w:val="20"/>
        </w:rPr>
      </w:pPr>
      <w:r>
        <w:rPr>
          <w:rFonts w:cstheme="minorHAnsi"/>
          <w:sz w:val="20"/>
          <w:szCs w:val="20"/>
        </w:rPr>
        <w:t>Gdzie:</w:t>
      </w:r>
    </w:p>
    <w:p w:rsidR="00BB0041" w:rsidRDefault="00BB0041" w:rsidP="00BB0041">
      <w:pPr>
        <w:spacing w:after="0"/>
        <w:ind w:left="709" w:hanging="1"/>
        <w:jc w:val="both"/>
        <w:rPr>
          <w:rFonts w:cstheme="minorHAnsi"/>
          <w:sz w:val="20"/>
          <w:szCs w:val="20"/>
        </w:rPr>
      </w:pPr>
      <w:r>
        <w:rPr>
          <w:rFonts w:cstheme="minorHAnsi"/>
          <w:sz w:val="20"/>
          <w:szCs w:val="20"/>
        </w:rPr>
        <w:t xml:space="preserve">- </w:t>
      </w:r>
      <w:proofErr w:type="spellStart"/>
      <w:r>
        <w:rPr>
          <w:rFonts w:cstheme="minorHAnsi"/>
          <w:sz w:val="20"/>
          <w:szCs w:val="20"/>
        </w:rPr>
        <w:t>Zof</w:t>
      </w:r>
      <w:proofErr w:type="spellEnd"/>
      <w:r>
        <w:rPr>
          <w:rFonts w:cstheme="minorHAnsi"/>
          <w:sz w:val="20"/>
          <w:szCs w:val="20"/>
        </w:rPr>
        <w:t xml:space="preserve"> – planowane zatrudnienie przez oferenta (wartość wskazana w 3 roku) </w:t>
      </w:r>
    </w:p>
    <w:p w:rsidR="00BB0041" w:rsidRDefault="00BB0041" w:rsidP="00BB0041">
      <w:pPr>
        <w:spacing w:after="0"/>
        <w:ind w:left="709" w:hanging="1"/>
        <w:jc w:val="both"/>
        <w:rPr>
          <w:rFonts w:cstheme="minorHAnsi"/>
          <w:sz w:val="20"/>
          <w:szCs w:val="20"/>
        </w:rPr>
      </w:pPr>
      <w:r>
        <w:rPr>
          <w:rFonts w:cstheme="minorHAnsi"/>
          <w:sz w:val="20"/>
          <w:szCs w:val="20"/>
        </w:rPr>
        <w:t xml:space="preserve">- </w:t>
      </w:r>
      <w:proofErr w:type="spellStart"/>
      <w:r>
        <w:rPr>
          <w:rFonts w:cstheme="minorHAnsi"/>
          <w:sz w:val="20"/>
          <w:szCs w:val="20"/>
        </w:rPr>
        <w:t>Zmax</w:t>
      </w:r>
      <w:proofErr w:type="spellEnd"/>
      <w:r>
        <w:rPr>
          <w:rFonts w:cstheme="minorHAnsi"/>
          <w:sz w:val="20"/>
          <w:szCs w:val="20"/>
        </w:rPr>
        <w:t xml:space="preserve"> - najwyższe planowane zatrudnienie spośród wszystkich ofert (wartość wskazana w 3 roku)</w:t>
      </w:r>
    </w:p>
    <w:p w:rsidR="00BB0041" w:rsidRDefault="00BB0041" w:rsidP="00BB0041">
      <w:pPr>
        <w:spacing w:after="0"/>
        <w:ind w:left="720" w:hanging="360"/>
        <w:jc w:val="both"/>
        <w:rPr>
          <w:rFonts w:cstheme="minorHAnsi"/>
          <w:sz w:val="20"/>
          <w:szCs w:val="20"/>
        </w:rPr>
      </w:pPr>
    </w:p>
    <w:p w:rsidR="00BB0041" w:rsidRDefault="00BB0041" w:rsidP="00BB0041">
      <w:pPr>
        <w:ind w:left="720" w:hanging="360"/>
        <w:jc w:val="both"/>
        <w:rPr>
          <w:rFonts w:cstheme="minorHAnsi"/>
          <w:sz w:val="20"/>
          <w:szCs w:val="20"/>
        </w:rPr>
      </w:pPr>
      <w:r>
        <w:rPr>
          <w:rFonts w:cstheme="minorHAnsi"/>
          <w:sz w:val="20"/>
          <w:szCs w:val="20"/>
        </w:rPr>
        <w:t>3. Innowacyjność przedsięwzięcia gospodarczego.</w:t>
      </w:r>
    </w:p>
    <w:p w:rsidR="00BB0041" w:rsidRDefault="00BB0041" w:rsidP="00BB0041">
      <w:pPr>
        <w:spacing w:after="0"/>
        <w:ind w:left="720" w:hanging="12"/>
        <w:jc w:val="both"/>
        <w:rPr>
          <w:rFonts w:cstheme="minorHAnsi"/>
          <w:sz w:val="20"/>
          <w:szCs w:val="20"/>
        </w:rPr>
      </w:pPr>
      <w:r>
        <w:rPr>
          <w:rFonts w:cstheme="minorHAnsi"/>
          <w:sz w:val="20"/>
          <w:szCs w:val="20"/>
        </w:rPr>
        <w:t>Liczba punktów 10.</w:t>
      </w:r>
    </w:p>
    <w:p w:rsidR="00BB0041" w:rsidRDefault="00BB0041" w:rsidP="00BB0041">
      <w:pPr>
        <w:spacing w:after="0"/>
        <w:ind w:left="720" w:hanging="12"/>
        <w:jc w:val="both"/>
        <w:rPr>
          <w:rFonts w:cstheme="minorHAnsi"/>
          <w:sz w:val="20"/>
          <w:szCs w:val="20"/>
        </w:rPr>
      </w:pPr>
      <w:r>
        <w:rPr>
          <w:rFonts w:cstheme="minorHAnsi"/>
          <w:sz w:val="20"/>
          <w:szCs w:val="20"/>
        </w:rPr>
        <w:t>10 według indywidualnej oceny każdego członka Komisji w skali od 0 do 10. Liczone jako średnia wszystkich ocen.</w:t>
      </w:r>
    </w:p>
    <w:p w:rsidR="00BB0041" w:rsidRDefault="00BB0041" w:rsidP="00BB0041">
      <w:pPr>
        <w:spacing w:after="0"/>
        <w:ind w:left="720" w:hanging="12"/>
        <w:jc w:val="both"/>
        <w:rPr>
          <w:rFonts w:cstheme="minorHAnsi"/>
          <w:sz w:val="20"/>
          <w:szCs w:val="20"/>
        </w:rPr>
      </w:pPr>
      <w:r>
        <w:rPr>
          <w:rFonts w:cstheme="minorHAnsi"/>
          <w:sz w:val="20"/>
          <w:szCs w:val="20"/>
        </w:rPr>
        <w:t>Komisja jest powoływana decyzją Dyrektora KPT.</w:t>
      </w:r>
    </w:p>
    <w:p w:rsidR="00BB0041" w:rsidRDefault="00BB0041" w:rsidP="00BB0041">
      <w:pPr>
        <w:spacing w:after="0"/>
        <w:ind w:left="720" w:hanging="360"/>
        <w:jc w:val="both"/>
        <w:rPr>
          <w:rFonts w:cstheme="minorHAnsi"/>
          <w:sz w:val="20"/>
          <w:szCs w:val="20"/>
        </w:rPr>
      </w:pPr>
    </w:p>
    <w:p w:rsidR="00BB0041" w:rsidRDefault="00BB0041" w:rsidP="00BB0041">
      <w:pPr>
        <w:spacing w:after="0"/>
        <w:ind w:left="360"/>
        <w:jc w:val="both"/>
        <w:rPr>
          <w:rFonts w:cstheme="minorHAnsi"/>
          <w:sz w:val="20"/>
          <w:szCs w:val="20"/>
        </w:rPr>
      </w:pPr>
      <w:r>
        <w:rPr>
          <w:rFonts w:cstheme="minorHAnsi"/>
          <w:sz w:val="20"/>
          <w:szCs w:val="20"/>
        </w:rPr>
        <w:t>4. Planowana wielkość nakładów inwestycyjnych (narastająco).</w:t>
      </w:r>
    </w:p>
    <w:p w:rsidR="00BB0041" w:rsidRDefault="00BB0041" w:rsidP="00BB0041">
      <w:pPr>
        <w:spacing w:after="0"/>
        <w:ind w:left="720"/>
        <w:jc w:val="both"/>
        <w:rPr>
          <w:rFonts w:cstheme="minorHAnsi"/>
          <w:sz w:val="20"/>
          <w:szCs w:val="20"/>
        </w:rPr>
      </w:pPr>
      <w:r>
        <w:rPr>
          <w:rFonts w:cstheme="minorHAnsi"/>
          <w:sz w:val="20"/>
          <w:szCs w:val="20"/>
        </w:rPr>
        <w:t>Liczba punktów 10.</w:t>
      </w:r>
    </w:p>
    <w:p w:rsidR="00BB0041" w:rsidRDefault="00BB0041" w:rsidP="00BB0041">
      <w:pPr>
        <w:spacing w:after="0"/>
        <w:ind w:left="720"/>
        <w:jc w:val="both"/>
        <w:rPr>
          <w:rFonts w:cstheme="minorHAnsi"/>
          <w:sz w:val="20"/>
          <w:szCs w:val="20"/>
        </w:rPr>
      </w:pPr>
    </w:p>
    <w:p w:rsidR="00BB0041" w:rsidRDefault="00BB0041" w:rsidP="00BB0041">
      <w:pPr>
        <w:spacing w:after="0"/>
        <w:ind w:left="720"/>
        <w:jc w:val="both"/>
        <w:rPr>
          <w:rFonts w:cstheme="minorHAnsi"/>
          <w:sz w:val="20"/>
          <w:szCs w:val="20"/>
        </w:rPr>
      </w:pPr>
      <w:r>
        <w:rPr>
          <w:rFonts w:cstheme="minorHAnsi"/>
          <w:sz w:val="20"/>
          <w:szCs w:val="20"/>
        </w:rPr>
        <w:t>Liczba punktów = (</w:t>
      </w:r>
      <w:proofErr w:type="spellStart"/>
      <w:r>
        <w:rPr>
          <w:rFonts w:cstheme="minorHAnsi"/>
          <w:sz w:val="20"/>
          <w:szCs w:val="20"/>
        </w:rPr>
        <w:t>Iof</w:t>
      </w:r>
      <w:proofErr w:type="spellEnd"/>
      <w:r>
        <w:rPr>
          <w:rFonts w:cstheme="minorHAnsi"/>
          <w:sz w:val="20"/>
          <w:szCs w:val="20"/>
        </w:rPr>
        <w:t>/</w:t>
      </w:r>
      <w:proofErr w:type="spellStart"/>
      <w:r>
        <w:rPr>
          <w:rFonts w:cstheme="minorHAnsi"/>
          <w:sz w:val="20"/>
          <w:szCs w:val="20"/>
        </w:rPr>
        <w:t>Imax</w:t>
      </w:r>
      <w:proofErr w:type="spellEnd"/>
      <w:r>
        <w:rPr>
          <w:rFonts w:cstheme="minorHAnsi"/>
          <w:sz w:val="20"/>
          <w:szCs w:val="20"/>
        </w:rPr>
        <w:t>)x100xwaga 10 %</w:t>
      </w:r>
    </w:p>
    <w:p w:rsidR="00BB0041" w:rsidRDefault="00BB0041" w:rsidP="00BB0041">
      <w:pPr>
        <w:spacing w:after="0"/>
        <w:ind w:left="720"/>
        <w:jc w:val="both"/>
        <w:rPr>
          <w:rFonts w:cstheme="minorHAnsi"/>
          <w:sz w:val="20"/>
          <w:szCs w:val="20"/>
        </w:rPr>
      </w:pPr>
      <w:r>
        <w:rPr>
          <w:rFonts w:cstheme="minorHAnsi"/>
          <w:sz w:val="20"/>
          <w:szCs w:val="20"/>
        </w:rPr>
        <w:t>Gdzie:</w:t>
      </w:r>
    </w:p>
    <w:p w:rsidR="00BB0041" w:rsidRDefault="00BB0041" w:rsidP="00BB0041">
      <w:pPr>
        <w:spacing w:after="0"/>
        <w:ind w:left="720"/>
        <w:jc w:val="both"/>
        <w:rPr>
          <w:rFonts w:cstheme="minorHAnsi"/>
          <w:sz w:val="20"/>
          <w:szCs w:val="20"/>
        </w:rPr>
      </w:pPr>
      <w:r>
        <w:rPr>
          <w:rFonts w:cstheme="minorHAnsi"/>
          <w:sz w:val="20"/>
          <w:szCs w:val="20"/>
        </w:rPr>
        <w:t xml:space="preserve">- </w:t>
      </w:r>
      <w:proofErr w:type="spellStart"/>
      <w:r>
        <w:rPr>
          <w:rFonts w:cstheme="minorHAnsi"/>
          <w:sz w:val="20"/>
          <w:szCs w:val="20"/>
        </w:rPr>
        <w:t>Iof</w:t>
      </w:r>
      <w:proofErr w:type="spellEnd"/>
      <w:r>
        <w:rPr>
          <w:rFonts w:cstheme="minorHAnsi"/>
          <w:sz w:val="20"/>
          <w:szCs w:val="20"/>
        </w:rPr>
        <w:t xml:space="preserve"> – planowane nakłady inwestycyjne w PLN przez oferenta (wartość wskazana w 3 roku)</w:t>
      </w:r>
    </w:p>
    <w:p w:rsidR="00BB0041" w:rsidRDefault="00BB0041" w:rsidP="00BB0041">
      <w:pPr>
        <w:spacing w:after="0"/>
        <w:ind w:left="720"/>
        <w:jc w:val="both"/>
        <w:rPr>
          <w:rFonts w:cstheme="minorHAnsi"/>
          <w:sz w:val="20"/>
          <w:szCs w:val="20"/>
        </w:rPr>
      </w:pPr>
      <w:r>
        <w:rPr>
          <w:rFonts w:cstheme="minorHAnsi"/>
          <w:sz w:val="20"/>
          <w:szCs w:val="20"/>
        </w:rPr>
        <w:t xml:space="preserve">- </w:t>
      </w:r>
      <w:proofErr w:type="spellStart"/>
      <w:r>
        <w:rPr>
          <w:rFonts w:cstheme="minorHAnsi"/>
          <w:sz w:val="20"/>
          <w:szCs w:val="20"/>
        </w:rPr>
        <w:t>Imax</w:t>
      </w:r>
      <w:proofErr w:type="spellEnd"/>
      <w:r>
        <w:rPr>
          <w:rFonts w:cstheme="minorHAnsi"/>
          <w:sz w:val="20"/>
          <w:szCs w:val="20"/>
        </w:rPr>
        <w:t xml:space="preserve"> - najwyższe planowane nakłady inwestycyjne spośród wszystkich ofert (wartość wskazana w 3 roku)</w:t>
      </w:r>
    </w:p>
    <w:p w:rsidR="00BB0041" w:rsidRDefault="00BB0041" w:rsidP="00BB0041">
      <w:pPr>
        <w:spacing w:after="0"/>
        <w:ind w:left="720"/>
        <w:jc w:val="both"/>
        <w:rPr>
          <w:rFonts w:cstheme="minorHAnsi"/>
          <w:sz w:val="20"/>
          <w:szCs w:val="20"/>
        </w:rPr>
      </w:pPr>
    </w:p>
    <w:p w:rsidR="00BB0041" w:rsidRDefault="00BB0041" w:rsidP="00BB0041">
      <w:pPr>
        <w:spacing w:after="0"/>
        <w:jc w:val="both"/>
        <w:rPr>
          <w:rFonts w:cstheme="minorHAnsi"/>
          <w:sz w:val="20"/>
          <w:szCs w:val="20"/>
        </w:rPr>
      </w:pPr>
      <w:r>
        <w:rPr>
          <w:rFonts w:cstheme="minorHAnsi"/>
          <w:sz w:val="20"/>
          <w:szCs w:val="20"/>
        </w:rPr>
        <w:t xml:space="preserve">Wymagane jest, aby cena i wielkość nakładów inwestycyjnych podana w formularzu ofertowym wyrażona była </w:t>
      </w:r>
      <w:r>
        <w:rPr>
          <w:rFonts w:cstheme="minorHAnsi"/>
          <w:sz w:val="20"/>
          <w:szCs w:val="20"/>
        </w:rPr>
        <w:br/>
        <w:t xml:space="preserve">w złotych polskich. </w:t>
      </w:r>
    </w:p>
    <w:p w:rsidR="00BB0041" w:rsidRDefault="00BB0041" w:rsidP="00BB0041">
      <w:pPr>
        <w:spacing w:after="0"/>
        <w:ind w:left="720"/>
        <w:jc w:val="both"/>
        <w:rPr>
          <w:rFonts w:cstheme="minorHAnsi"/>
          <w:sz w:val="20"/>
          <w:szCs w:val="20"/>
        </w:rPr>
      </w:pPr>
    </w:p>
    <w:p w:rsidR="00BB0041" w:rsidRDefault="00BB0041" w:rsidP="00BB0041">
      <w:pPr>
        <w:spacing w:after="0"/>
        <w:jc w:val="both"/>
        <w:rPr>
          <w:rFonts w:cstheme="minorHAnsi"/>
          <w:b/>
          <w:sz w:val="20"/>
          <w:szCs w:val="20"/>
        </w:rPr>
      </w:pPr>
      <w:r>
        <w:rPr>
          <w:rFonts w:cstheme="minorHAnsi"/>
          <w:b/>
          <w:sz w:val="20"/>
          <w:szCs w:val="20"/>
        </w:rPr>
        <w:t>Suma punktów uzyskanych za wszystkie kryteria oceny stanowić będzie końcową ocenę danej oferty.</w:t>
      </w:r>
    </w:p>
    <w:p w:rsidR="00BB0041" w:rsidRDefault="00BB0041" w:rsidP="00BB0041">
      <w:pPr>
        <w:spacing w:after="0"/>
        <w:jc w:val="both"/>
        <w:rPr>
          <w:rFonts w:cstheme="minorHAnsi"/>
          <w:b/>
          <w:sz w:val="20"/>
          <w:szCs w:val="20"/>
        </w:rPr>
      </w:pPr>
      <w:r>
        <w:rPr>
          <w:rFonts w:cstheme="minorHAnsi"/>
          <w:b/>
          <w:sz w:val="20"/>
          <w:szCs w:val="20"/>
        </w:rPr>
        <w:t>IX. Wybór Najemcy.</w:t>
      </w:r>
    </w:p>
    <w:p w:rsidR="00BB0041" w:rsidRDefault="00BB0041" w:rsidP="00BB0041">
      <w:pPr>
        <w:jc w:val="both"/>
        <w:rPr>
          <w:rFonts w:cstheme="minorHAnsi"/>
          <w:sz w:val="20"/>
          <w:szCs w:val="20"/>
        </w:rPr>
      </w:pPr>
      <w:r>
        <w:rPr>
          <w:rFonts w:cstheme="minorHAnsi"/>
          <w:sz w:val="20"/>
          <w:szCs w:val="20"/>
        </w:rPr>
        <w:t>Kielecki Park Technologiczny wyłoni Najemcę, którego oferta odpowiada wszystkim wymaganiom określonym w niniejszej specyfikacji i została oceniona jako najkorzystniejsza w oparciu o podane kryteria wyboru, i podpisze umowę, której wzór stanowi załącznik do niniejszej specyfikacji.  Kielecki Park Technologiczny może odmówić podpisania umowy z oferentem będącym dłużnikiem Kieleckiego Parku Technologicznego do czasu uregulowania zadłużenia. W tym celu dłużnikowi może zostać wyznaczony termin do uregulowania zadłużenia.</w:t>
      </w:r>
    </w:p>
    <w:p w:rsidR="00BB0041" w:rsidRDefault="00BB0041" w:rsidP="00BB0041">
      <w:pPr>
        <w:jc w:val="both"/>
        <w:rPr>
          <w:rFonts w:cstheme="minorHAnsi"/>
          <w:sz w:val="20"/>
          <w:szCs w:val="20"/>
        </w:rPr>
      </w:pPr>
      <w:r>
        <w:rPr>
          <w:rFonts w:cstheme="minorHAnsi"/>
          <w:sz w:val="20"/>
          <w:szCs w:val="20"/>
        </w:rPr>
        <w:t>W przypadku uchylenia się przez przedmiot wyłoniony w drodze przetargu od zawarcia umowy najmu, KPT podpisze umowę z kolejnym oferentem, którego oferta uzyskała najwyższą liczbą punktów, spełniającym wszystkie kryteria przetargu.</w:t>
      </w:r>
    </w:p>
    <w:p w:rsidR="00BB0041" w:rsidRDefault="00BB0041" w:rsidP="00BB0041">
      <w:pPr>
        <w:spacing w:after="0"/>
        <w:jc w:val="both"/>
        <w:rPr>
          <w:rFonts w:cstheme="minorHAnsi"/>
          <w:b/>
          <w:sz w:val="20"/>
          <w:szCs w:val="20"/>
        </w:rPr>
      </w:pPr>
      <w:r>
        <w:rPr>
          <w:rFonts w:cstheme="minorHAnsi"/>
          <w:b/>
          <w:sz w:val="20"/>
          <w:szCs w:val="20"/>
        </w:rPr>
        <w:t>X. Uprawnienia Wynajmującego.</w:t>
      </w:r>
    </w:p>
    <w:p w:rsidR="00BB0041" w:rsidRDefault="00BB0041" w:rsidP="00BB0041">
      <w:pPr>
        <w:jc w:val="both"/>
        <w:rPr>
          <w:rFonts w:cstheme="minorHAnsi"/>
          <w:sz w:val="20"/>
          <w:szCs w:val="20"/>
        </w:rPr>
      </w:pPr>
      <w:r>
        <w:rPr>
          <w:rFonts w:cstheme="minorHAnsi"/>
          <w:sz w:val="20"/>
          <w:szCs w:val="20"/>
        </w:rPr>
        <w:t>Wynajmujący zastrzega sobie prawo weryfikacji i kontroli kryteriów planowanej wielkości nakładów inwestycyjnych oraz wielkości zatrudnienia i zobowiązuje najemcę do przedstawienia raportu rocznego dotyczącego spełnienia kryteriów określonych w ofercie (w kwestii planowanej wielkości nakładów oraz wielkości zatrudnienia).</w:t>
      </w:r>
    </w:p>
    <w:p w:rsidR="00BB0041" w:rsidRDefault="00BB0041" w:rsidP="00BB0041">
      <w:pPr>
        <w:jc w:val="both"/>
        <w:rPr>
          <w:rFonts w:cstheme="minorHAnsi"/>
          <w:sz w:val="20"/>
          <w:szCs w:val="20"/>
        </w:rPr>
      </w:pPr>
      <w:r>
        <w:rPr>
          <w:rFonts w:cstheme="minorHAnsi"/>
          <w:sz w:val="20"/>
          <w:szCs w:val="20"/>
        </w:rPr>
        <w:t>Kielecki Park Technologiczny zastrzega prawo odstąpienia od umowy w okresie 3 lat od jej zawarcia, na wypadek niedotrzymania zobowiązań wynikających z deklarowanej przez Najemcę oferty (w kwestii planowanej wielkości nakładów oraz wielkości zatrudnienia).</w:t>
      </w:r>
    </w:p>
    <w:p w:rsidR="00BB0041" w:rsidRDefault="00BB0041" w:rsidP="00BB0041">
      <w:pPr>
        <w:jc w:val="both"/>
        <w:rPr>
          <w:rFonts w:cstheme="minorHAnsi"/>
          <w:sz w:val="20"/>
          <w:szCs w:val="20"/>
        </w:rPr>
      </w:pPr>
      <w:r>
        <w:rPr>
          <w:rFonts w:cstheme="minorHAnsi"/>
          <w:sz w:val="20"/>
          <w:szCs w:val="20"/>
        </w:rPr>
        <w:t>Kielecki Park Technologiczny zastrzega sobie prawo:</w:t>
      </w:r>
    </w:p>
    <w:p w:rsidR="00BB0041" w:rsidRDefault="00BB0041" w:rsidP="00BB0041">
      <w:pPr>
        <w:jc w:val="both"/>
        <w:rPr>
          <w:rFonts w:cstheme="minorHAnsi"/>
          <w:sz w:val="20"/>
          <w:szCs w:val="20"/>
        </w:rPr>
      </w:pPr>
      <w:r>
        <w:rPr>
          <w:rFonts w:cstheme="minorHAnsi"/>
          <w:sz w:val="20"/>
          <w:szCs w:val="20"/>
        </w:rPr>
        <w:t xml:space="preserve">Odwołania przetargu z ważnych powodów na podstawie art. 38 ust. 4 ustawy z dnia 21 sierpnia 1997 r. </w:t>
      </w:r>
      <w:r>
        <w:rPr>
          <w:rFonts w:cstheme="minorHAnsi"/>
          <w:sz w:val="20"/>
          <w:szCs w:val="20"/>
        </w:rPr>
        <w:br/>
        <w:t xml:space="preserve">o gospodarce nieruchomościami (Dz. U. z 2021 r., poz.1899 ze zm.). </w:t>
      </w:r>
    </w:p>
    <w:p w:rsidR="00BB0041" w:rsidRDefault="00BB0041" w:rsidP="00BB0041">
      <w:pPr>
        <w:jc w:val="both"/>
        <w:rPr>
          <w:rFonts w:cstheme="minorHAnsi"/>
          <w:sz w:val="20"/>
          <w:szCs w:val="20"/>
        </w:rPr>
      </w:pPr>
      <w:r>
        <w:rPr>
          <w:rFonts w:cstheme="minorHAnsi"/>
          <w:sz w:val="20"/>
          <w:szCs w:val="20"/>
        </w:rPr>
        <w:lastRenderedPageBreak/>
        <w:t xml:space="preserve">Wszelkie informacje na temat przetargu można uzyskać w siedzibie Kieleckiego Parku Technologicznego </w:t>
      </w:r>
      <w:r>
        <w:rPr>
          <w:rFonts w:cstheme="minorHAnsi"/>
          <w:sz w:val="20"/>
          <w:szCs w:val="20"/>
        </w:rPr>
        <w:br/>
      </w:r>
      <w:r>
        <w:rPr>
          <w:rStyle w:val="Hipercze"/>
          <w:rFonts w:cstheme="minorHAnsi"/>
          <w:sz w:val="20"/>
          <w:szCs w:val="20"/>
        </w:rPr>
        <w:t>karolina,grochowina@technopark.kielce.pl</w:t>
      </w:r>
      <w:r>
        <w:rPr>
          <w:rFonts w:cstheme="minorHAnsi"/>
          <w:sz w:val="20"/>
          <w:szCs w:val="20"/>
        </w:rPr>
        <w:t xml:space="preserve"> , tel. 41 278 72 39. </w:t>
      </w:r>
    </w:p>
    <w:p w:rsidR="00BB0041" w:rsidRDefault="00BB0041" w:rsidP="00BB0041">
      <w:pPr>
        <w:jc w:val="both"/>
        <w:rPr>
          <w:rFonts w:cstheme="minorHAnsi"/>
          <w:sz w:val="20"/>
          <w:szCs w:val="20"/>
        </w:rPr>
      </w:pPr>
      <w:r>
        <w:rPr>
          <w:rFonts w:cstheme="minorHAnsi"/>
          <w:sz w:val="20"/>
          <w:szCs w:val="20"/>
        </w:rPr>
        <w:t>Postępowanie prowadzi się z zachowaniem formy pisemnej. W zakresie udzielania informacji i wyjaśnień Kielecki Park Technologiczny dopuszcza porozumiewanie się za pomocą faksu i w formie elektronicznej.</w:t>
      </w:r>
    </w:p>
    <w:p w:rsidR="00BB0041" w:rsidRDefault="00BB0041" w:rsidP="00BB0041">
      <w:pPr>
        <w:spacing w:after="0"/>
        <w:jc w:val="both"/>
        <w:rPr>
          <w:rFonts w:cstheme="minorHAnsi"/>
          <w:sz w:val="20"/>
          <w:szCs w:val="20"/>
        </w:rPr>
      </w:pPr>
      <w:r>
        <w:rPr>
          <w:rFonts w:cstheme="minorHAnsi"/>
          <w:sz w:val="20"/>
          <w:szCs w:val="20"/>
        </w:rPr>
        <w:t>W załączeniu:</w:t>
      </w:r>
    </w:p>
    <w:p w:rsidR="00BB0041" w:rsidRDefault="00BB0041" w:rsidP="00BB0041">
      <w:pPr>
        <w:spacing w:line="276" w:lineRule="auto"/>
        <w:contextualSpacing/>
        <w:rPr>
          <w:sz w:val="20"/>
        </w:rPr>
      </w:pPr>
      <w:r w:rsidRPr="00B81FF6">
        <w:rPr>
          <w:sz w:val="20"/>
        </w:rPr>
        <w:t xml:space="preserve">Załącznik nr 1 - Opis techniczny </w:t>
      </w:r>
      <w:r>
        <w:rPr>
          <w:sz w:val="20"/>
        </w:rPr>
        <w:t>Moduł C, OULU TECH</w:t>
      </w:r>
    </w:p>
    <w:p w:rsidR="00BB0041" w:rsidRDefault="00BB0041" w:rsidP="00BB0041">
      <w:pPr>
        <w:spacing w:line="276" w:lineRule="auto"/>
        <w:contextualSpacing/>
        <w:rPr>
          <w:sz w:val="20"/>
        </w:rPr>
      </w:pPr>
      <w:r w:rsidRPr="00B81FF6">
        <w:rPr>
          <w:sz w:val="20"/>
        </w:rPr>
        <w:t xml:space="preserve">Załącznik nr 1a </w:t>
      </w:r>
      <w:r>
        <w:rPr>
          <w:sz w:val="20"/>
        </w:rPr>
        <w:t>-</w:t>
      </w:r>
      <w:r w:rsidRPr="00B81FF6">
        <w:rPr>
          <w:sz w:val="20"/>
        </w:rPr>
        <w:t xml:space="preserve"> Rzut </w:t>
      </w:r>
      <w:r>
        <w:rPr>
          <w:sz w:val="20"/>
        </w:rPr>
        <w:t>techniczny parteru, OULU TECH</w:t>
      </w:r>
    </w:p>
    <w:p w:rsidR="00BB0041" w:rsidRPr="00B81FF6" w:rsidRDefault="00BB0041" w:rsidP="00BB0041">
      <w:pPr>
        <w:spacing w:line="276" w:lineRule="auto"/>
        <w:contextualSpacing/>
        <w:rPr>
          <w:sz w:val="20"/>
        </w:rPr>
      </w:pPr>
      <w:r w:rsidRPr="00B81FF6">
        <w:rPr>
          <w:sz w:val="20"/>
        </w:rPr>
        <w:t xml:space="preserve">Załącznik nr 2 </w:t>
      </w:r>
      <w:r>
        <w:rPr>
          <w:sz w:val="20"/>
        </w:rPr>
        <w:t>-</w:t>
      </w:r>
      <w:r w:rsidRPr="00B81FF6">
        <w:rPr>
          <w:sz w:val="20"/>
        </w:rPr>
        <w:t xml:space="preserve"> Formularz ofertowy</w:t>
      </w:r>
    </w:p>
    <w:p w:rsidR="00BB0041" w:rsidRPr="00B81FF6" w:rsidRDefault="00BB0041" w:rsidP="00BB0041">
      <w:pPr>
        <w:spacing w:line="276" w:lineRule="auto"/>
        <w:contextualSpacing/>
        <w:rPr>
          <w:sz w:val="20"/>
        </w:rPr>
      </w:pPr>
      <w:r w:rsidRPr="00B81FF6">
        <w:rPr>
          <w:sz w:val="20"/>
        </w:rPr>
        <w:t>Załącznik nr 3 - Regulamin porządkowy w budynkach Centrum Technologicznego</w:t>
      </w:r>
    </w:p>
    <w:p w:rsidR="00BB0041" w:rsidRPr="00B81FF6" w:rsidRDefault="00BB0041" w:rsidP="00BB0041">
      <w:pPr>
        <w:spacing w:line="276" w:lineRule="auto"/>
        <w:contextualSpacing/>
        <w:rPr>
          <w:sz w:val="20"/>
        </w:rPr>
      </w:pPr>
      <w:r w:rsidRPr="00B81FF6">
        <w:rPr>
          <w:sz w:val="20"/>
        </w:rPr>
        <w:t xml:space="preserve">Załącznik nr 4a </w:t>
      </w:r>
      <w:r>
        <w:rPr>
          <w:sz w:val="20"/>
        </w:rPr>
        <w:t>-</w:t>
      </w:r>
      <w:r w:rsidRPr="00B81FF6">
        <w:rPr>
          <w:sz w:val="20"/>
        </w:rPr>
        <w:t xml:space="preserve"> Wzór umowy najmu (dot. najemców nie objętych pomocą de </w:t>
      </w:r>
      <w:proofErr w:type="spellStart"/>
      <w:r w:rsidRPr="00B81FF6">
        <w:rPr>
          <w:sz w:val="20"/>
        </w:rPr>
        <w:t>minimis</w:t>
      </w:r>
      <w:proofErr w:type="spellEnd"/>
      <w:r w:rsidRPr="00B81FF6">
        <w:rPr>
          <w:sz w:val="20"/>
        </w:rPr>
        <w:t>)</w:t>
      </w:r>
    </w:p>
    <w:p w:rsidR="00BB0041" w:rsidRPr="00B81FF6" w:rsidRDefault="00BB0041" w:rsidP="00BB0041">
      <w:pPr>
        <w:spacing w:line="276" w:lineRule="auto"/>
        <w:contextualSpacing/>
        <w:rPr>
          <w:sz w:val="20"/>
        </w:rPr>
      </w:pPr>
      <w:r w:rsidRPr="00B81FF6">
        <w:rPr>
          <w:sz w:val="20"/>
        </w:rPr>
        <w:t xml:space="preserve">Załącznik nr 4b </w:t>
      </w:r>
      <w:r>
        <w:rPr>
          <w:sz w:val="20"/>
        </w:rPr>
        <w:t>-</w:t>
      </w:r>
      <w:r w:rsidRPr="00B81FF6">
        <w:rPr>
          <w:sz w:val="20"/>
        </w:rPr>
        <w:t xml:space="preserve"> Wzór umowy najmu (dot. najemców objętych pomocą de </w:t>
      </w:r>
      <w:proofErr w:type="spellStart"/>
      <w:r w:rsidRPr="00B81FF6">
        <w:rPr>
          <w:sz w:val="20"/>
        </w:rPr>
        <w:t>minimis</w:t>
      </w:r>
      <w:proofErr w:type="spellEnd"/>
      <w:r w:rsidRPr="00B81FF6">
        <w:rPr>
          <w:sz w:val="20"/>
        </w:rPr>
        <w:t>)</w:t>
      </w:r>
    </w:p>
    <w:p w:rsidR="00BB0041" w:rsidRPr="00B81FF6" w:rsidRDefault="00BB0041" w:rsidP="00BB0041">
      <w:pPr>
        <w:spacing w:line="276" w:lineRule="auto"/>
        <w:contextualSpacing/>
        <w:rPr>
          <w:sz w:val="20"/>
        </w:rPr>
      </w:pPr>
      <w:r w:rsidRPr="00B81FF6">
        <w:rPr>
          <w:sz w:val="20"/>
        </w:rPr>
        <w:t xml:space="preserve">Załącznik nr 5 </w:t>
      </w:r>
      <w:r>
        <w:rPr>
          <w:sz w:val="20"/>
        </w:rPr>
        <w:t xml:space="preserve">- </w:t>
      </w:r>
      <w:r w:rsidRPr="00B81FF6">
        <w:rPr>
          <w:sz w:val="20"/>
        </w:rPr>
        <w:t>Kwestionariusz badania statusu MSP</w:t>
      </w:r>
    </w:p>
    <w:p w:rsidR="00BB0041" w:rsidRPr="00B81FF6" w:rsidRDefault="00BB0041" w:rsidP="00BB0041">
      <w:pPr>
        <w:spacing w:line="276" w:lineRule="auto"/>
        <w:contextualSpacing/>
        <w:rPr>
          <w:sz w:val="20"/>
        </w:rPr>
      </w:pPr>
      <w:r w:rsidRPr="00B81FF6">
        <w:rPr>
          <w:sz w:val="20"/>
        </w:rPr>
        <w:t xml:space="preserve">Załącznik nr 6 </w:t>
      </w:r>
      <w:r>
        <w:rPr>
          <w:sz w:val="20"/>
        </w:rPr>
        <w:t>-</w:t>
      </w:r>
      <w:r w:rsidRPr="00B81FF6">
        <w:rPr>
          <w:sz w:val="20"/>
        </w:rPr>
        <w:t xml:space="preserve"> Formularz informacji przedstawianych przy ubieganiu się o pomoc de </w:t>
      </w:r>
      <w:proofErr w:type="spellStart"/>
      <w:r w:rsidRPr="00B81FF6">
        <w:rPr>
          <w:sz w:val="20"/>
        </w:rPr>
        <w:t>minimis</w:t>
      </w:r>
      <w:proofErr w:type="spellEnd"/>
      <w:r w:rsidRPr="00B81FF6">
        <w:rPr>
          <w:sz w:val="20"/>
        </w:rPr>
        <w:t>.</w:t>
      </w:r>
    </w:p>
    <w:p w:rsidR="00BB0041" w:rsidRDefault="00BB0041" w:rsidP="00BB0041">
      <w:pPr>
        <w:spacing w:line="276" w:lineRule="auto"/>
        <w:contextualSpacing/>
        <w:rPr>
          <w:sz w:val="20"/>
        </w:rPr>
      </w:pPr>
      <w:r w:rsidRPr="00B81FF6">
        <w:rPr>
          <w:sz w:val="20"/>
        </w:rPr>
        <w:t>Załącznik nr 7 - Regulamin rozliczania kosztów za media</w:t>
      </w:r>
    </w:p>
    <w:p w:rsidR="00BB0041" w:rsidRDefault="00BB0041" w:rsidP="00BB0041">
      <w:pPr>
        <w:spacing w:line="276" w:lineRule="auto"/>
        <w:contextualSpacing/>
        <w:rPr>
          <w:sz w:val="20"/>
        </w:rPr>
      </w:pPr>
      <w:r>
        <w:rPr>
          <w:sz w:val="20"/>
        </w:rPr>
        <w:t>Załącznik 7a - Koszty jednostkowe za media</w:t>
      </w:r>
    </w:p>
    <w:p w:rsidR="00BB0041" w:rsidRDefault="00BB0041" w:rsidP="00BB0041">
      <w:pPr>
        <w:spacing w:after="0"/>
        <w:jc w:val="both"/>
        <w:rPr>
          <w:rFonts w:cstheme="minorHAnsi"/>
          <w:sz w:val="20"/>
          <w:szCs w:val="20"/>
        </w:rPr>
      </w:pPr>
    </w:p>
    <w:p w:rsidR="00BB0041" w:rsidRPr="00766AD7" w:rsidRDefault="00BB0041" w:rsidP="00BB0041">
      <w:pPr>
        <w:spacing w:after="0"/>
        <w:jc w:val="both"/>
        <w:rPr>
          <w:rFonts w:cstheme="minorHAnsi"/>
          <w:i/>
          <w:sz w:val="20"/>
          <w:szCs w:val="20"/>
        </w:rPr>
      </w:pPr>
    </w:p>
    <w:p w:rsidR="00BB0041" w:rsidRDefault="00BB0041" w:rsidP="00BB0041">
      <w:pPr>
        <w:spacing w:before="120" w:after="0" w:line="240" w:lineRule="auto"/>
        <w:jc w:val="both"/>
        <w:rPr>
          <w:rFonts w:cstheme="minorHAnsi"/>
          <w:b/>
          <w:snapToGrid w:val="0"/>
          <w:sz w:val="20"/>
          <w:szCs w:val="20"/>
        </w:rPr>
      </w:pPr>
      <w:r>
        <w:rPr>
          <w:rFonts w:cstheme="minorHAnsi"/>
          <w:b/>
          <w:snapToGrid w:val="0"/>
          <w:sz w:val="20"/>
          <w:szCs w:val="20"/>
        </w:rPr>
        <w:t>XI. Kryteria oceny innowacyjność przedsięwzięcia:</w:t>
      </w:r>
    </w:p>
    <w:p w:rsidR="00BB0041" w:rsidRDefault="00BB0041" w:rsidP="00BB0041">
      <w:pPr>
        <w:spacing w:after="0"/>
        <w:rPr>
          <w:rFonts w:cstheme="minorHAnsi"/>
          <w:sz w:val="20"/>
          <w:szCs w:val="20"/>
        </w:rPr>
      </w:pPr>
      <w:r>
        <w:rPr>
          <w:rFonts w:cstheme="minorHAnsi"/>
          <w:sz w:val="20"/>
          <w:szCs w:val="20"/>
        </w:rPr>
        <w:t>Kryteria oceny Komisji:</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4040"/>
        <w:gridCol w:w="4736"/>
        <w:gridCol w:w="567"/>
      </w:tblGrid>
      <w:tr w:rsidR="00BB0041" w:rsidTr="008C54DC">
        <w:tc>
          <w:tcPr>
            <w:tcW w:w="4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Lp.</w:t>
            </w:r>
          </w:p>
        </w:tc>
        <w:tc>
          <w:tcPr>
            <w:tcW w:w="4040"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Opis planowanego przedsięwzięcia gospodarczego</w:t>
            </w:r>
          </w:p>
        </w:tc>
        <w:tc>
          <w:tcPr>
            <w:tcW w:w="4736"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Weryfikacja kryterium obejmuje ocenę takich elementów, jak:</w:t>
            </w:r>
          </w:p>
        </w:tc>
        <w:tc>
          <w:tcPr>
            <w:tcW w:w="5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Pkt.</w:t>
            </w:r>
          </w:p>
        </w:tc>
      </w:tr>
      <w:tr w:rsidR="00BB0041" w:rsidTr="008C54DC">
        <w:tc>
          <w:tcPr>
            <w:tcW w:w="4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1.</w:t>
            </w:r>
          </w:p>
        </w:tc>
        <w:tc>
          <w:tcPr>
            <w:tcW w:w="4040"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Opis przedmiotu działalności firmy branża, specjalność oraz określenie kluczowych grup odbiorców i konkurencji.</w:t>
            </w:r>
          </w:p>
        </w:tc>
        <w:tc>
          <w:tcPr>
            <w:tcW w:w="4736"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Opis specyfiki prowadzonej działalności gospodarczej/pomysłu biznesowego, skala działalności.</w:t>
            </w:r>
          </w:p>
          <w:p w:rsidR="00BB0041" w:rsidRDefault="00BB0041" w:rsidP="008C54DC">
            <w:pPr>
              <w:spacing w:after="0"/>
              <w:rPr>
                <w:rFonts w:cstheme="minorHAnsi"/>
                <w:sz w:val="20"/>
                <w:szCs w:val="20"/>
              </w:rPr>
            </w:pPr>
            <w:r>
              <w:rPr>
                <w:rFonts w:cstheme="minorHAnsi"/>
                <w:sz w:val="20"/>
                <w:szCs w:val="20"/>
              </w:rPr>
              <w:t>Identyfikacja rynku docelowego, poparta danymi.</w:t>
            </w:r>
          </w:p>
          <w:p w:rsidR="00BB0041" w:rsidRDefault="00BB0041" w:rsidP="008C54DC">
            <w:pPr>
              <w:spacing w:after="0"/>
              <w:rPr>
                <w:rFonts w:cstheme="minorHAnsi"/>
                <w:sz w:val="20"/>
                <w:szCs w:val="20"/>
              </w:rPr>
            </w:pPr>
            <w:r>
              <w:rPr>
                <w:rFonts w:cstheme="minorHAnsi"/>
                <w:sz w:val="20"/>
                <w:szCs w:val="20"/>
              </w:rPr>
              <w:t>Identyfikacja otoczenia konkurencyjnego.</w:t>
            </w:r>
          </w:p>
          <w:p w:rsidR="00BB0041" w:rsidRDefault="00BB0041" w:rsidP="008C54DC">
            <w:pPr>
              <w:spacing w:after="0"/>
              <w:rPr>
                <w:rFonts w:cstheme="minorHAnsi"/>
                <w:sz w:val="20"/>
                <w:szCs w:val="20"/>
              </w:rPr>
            </w:pPr>
            <w:r>
              <w:rPr>
                <w:rFonts w:cstheme="minorHAnsi"/>
                <w:sz w:val="20"/>
                <w:szCs w:val="20"/>
              </w:rPr>
              <w:t>Zgodność z właściwymi strategiami rozwoju miasta i regionu.</w:t>
            </w:r>
          </w:p>
        </w:tc>
        <w:tc>
          <w:tcPr>
            <w:tcW w:w="5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3</w:t>
            </w:r>
          </w:p>
        </w:tc>
      </w:tr>
      <w:tr w:rsidR="00BB0041" w:rsidTr="008C54DC">
        <w:tc>
          <w:tcPr>
            <w:tcW w:w="4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2.</w:t>
            </w:r>
          </w:p>
        </w:tc>
        <w:tc>
          <w:tcPr>
            <w:tcW w:w="4040"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Opis procesu produkcyjnego/wdrażanej technologii oraz finalnego produktu</w:t>
            </w:r>
          </w:p>
        </w:tc>
        <w:tc>
          <w:tcPr>
            <w:tcW w:w="4736"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Złożoność i etapowość procesu produkcyjnego; wskazanie końcowego produktu i jego zastosowania.</w:t>
            </w:r>
          </w:p>
          <w:p w:rsidR="00BB0041" w:rsidRDefault="00BB0041" w:rsidP="008C54DC">
            <w:pPr>
              <w:spacing w:after="0"/>
              <w:rPr>
                <w:rFonts w:cstheme="minorHAnsi"/>
                <w:sz w:val="20"/>
                <w:szCs w:val="20"/>
              </w:rPr>
            </w:pPr>
            <w:r>
              <w:rPr>
                <w:rFonts w:cstheme="minorHAnsi"/>
                <w:sz w:val="20"/>
                <w:szCs w:val="20"/>
              </w:rPr>
              <w:t>Technologia otrzymywania danego produktu jest całkowicie nowa i powstała w oparciu o badania i prace rozwojowe prowadzone przez firmę i jednostki naukowo-badawcze, czy technologia, którą wykorzystuje firma jest już znana.</w:t>
            </w:r>
          </w:p>
        </w:tc>
        <w:tc>
          <w:tcPr>
            <w:tcW w:w="5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3</w:t>
            </w:r>
          </w:p>
        </w:tc>
      </w:tr>
      <w:tr w:rsidR="00BB0041" w:rsidTr="008C54DC">
        <w:tc>
          <w:tcPr>
            <w:tcW w:w="4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3.</w:t>
            </w:r>
          </w:p>
        </w:tc>
        <w:tc>
          <w:tcPr>
            <w:tcW w:w="4040"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Opis nowatorstwa proponowanego rozwiązania - wskazanie na różnice zastosowanego podejścia w odniesieniu do obecnych rozwiązań funkcjonujących na rynku w danej branży</w:t>
            </w:r>
          </w:p>
        </w:tc>
        <w:tc>
          <w:tcPr>
            <w:tcW w:w="4736" w:type="dxa"/>
            <w:tcBorders>
              <w:top w:val="single" w:sz="4" w:space="0" w:color="auto"/>
              <w:left w:val="single" w:sz="4" w:space="0" w:color="auto"/>
              <w:bottom w:val="single" w:sz="4" w:space="0" w:color="auto"/>
              <w:right w:val="single" w:sz="4" w:space="0" w:color="auto"/>
            </w:tcBorders>
          </w:tcPr>
          <w:p w:rsidR="00BB0041" w:rsidRDefault="00BB0041" w:rsidP="008C54DC">
            <w:pPr>
              <w:spacing w:after="0"/>
              <w:rPr>
                <w:rFonts w:cstheme="minorHAnsi"/>
                <w:sz w:val="20"/>
                <w:szCs w:val="20"/>
              </w:rPr>
            </w:pPr>
            <w:r>
              <w:rPr>
                <w:rFonts w:cstheme="minorHAnsi"/>
                <w:sz w:val="20"/>
                <w:szCs w:val="20"/>
              </w:rPr>
              <w:t xml:space="preserve">Wskazanie wdrażania nowego lub znacząco udoskonalonego produktu (wyrobu lub usługi) lub procesu, nowej metody marketingowej lub organizacyjnej. </w:t>
            </w:r>
          </w:p>
          <w:p w:rsidR="00BB0041" w:rsidRDefault="00BB0041" w:rsidP="008C54DC">
            <w:pPr>
              <w:spacing w:after="0"/>
              <w:rPr>
                <w:rFonts w:cstheme="minorHAnsi"/>
                <w:sz w:val="20"/>
                <w:szCs w:val="20"/>
              </w:rPr>
            </w:pPr>
            <w:r>
              <w:rPr>
                <w:rFonts w:cstheme="minorHAnsi"/>
                <w:sz w:val="20"/>
                <w:szCs w:val="20"/>
              </w:rPr>
              <w:t>Wskazanie przewagi nad dotychczasową praktyką.</w:t>
            </w:r>
          </w:p>
        </w:tc>
        <w:tc>
          <w:tcPr>
            <w:tcW w:w="5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2</w:t>
            </w:r>
          </w:p>
        </w:tc>
      </w:tr>
      <w:tr w:rsidR="00BB0041" w:rsidTr="008C54DC">
        <w:tc>
          <w:tcPr>
            <w:tcW w:w="4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4.</w:t>
            </w:r>
          </w:p>
        </w:tc>
        <w:tc>
          <w:tcPr>
            <w:tcW w:w="4040"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Opis strategii rozwoju przedsięwzięcia w perspektywie 5 lat od dnia wejścia do Centrum Technologicznego</w:t>
            </w:r>
          </w:p>
        </w:tc>
        <w:tc>
          <w:tcPr>
            <w:tcW w:w="4736"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Wskazanie wizji, misji oraz zakładanych celów i stanu ich realizacji w okresie 5 lat</w:t>
            </w:r>
          </w:p>
        </w:tc>
        <w:tc>
          <w:tcPr>
            <w:tcW w:w="5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1</w:t>
            </w:r>
          </w:p>
        </w:tc>
      </w:tr>
      <w:tr w:rsidR="00BB0041" w:rsidTr="008C54DC">
        <w:tc>
          <w:tcPr>
            <w:tcW w:w="4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5.</w:t>
            </w:r>
          </w:p>
        </w:tc>
        <w:tc>
          <w:tcPr>
            <w:tcW w:w="4040"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Opis zakresu planowanej współpracy z uczelniami wyższymi, jednostkami badawczo-rozwojowymi.</w:t>
            </w:r>
          </w:p>
        </w:tc>
        <w:tc>
          <w:tcPr>
            <w:tcW w:w="4736"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Zdefiniowanie obszarów i form współpracy z JBR i sektorem nauki</w:t>
            </w:r>
          </w:p>
        </w:tc>
        <w:tc>
          <w:tcPr>
            <w:tcW w:w="5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1</w:t>
            </w:r>
          </w:p>
        </w:tc>
      </w:tr>
      <w:tr w:rsidR="00BB0041" w:rsidTr="008C54DC">
        <w:tc>
          <w:tcPr>
            <w:tcW w:w="467" w:type="dxa"/>
            <w:tcBorders>
              <w:top w:val="single" w:sz="4" w:space="0" w:color="auto"/>
              <w:left w:val="single" w:sz="4" w:space="0" w:color="auto"/>
              <w:bottom w:val="single" w:sz="4" w:space="0" w:color="auto"/>
              <w:right w:val="single" w:sz="4" w:space="0" w:color="auto"/>
            </w:tcBorders>
          </w:tcPr>
          <w:p w:rsidR="00BB0041" w:rsidRDefault="00BB0041" w:rsidP="008C54DC">
            <w:pPr>
              <w:spacing w:after="0"/>
              <w:rPr>
                <w:rFonts w:cstheme="minorHAnsi"/>
                <w:sz w:val="20"/>
                <w:szCs w:val="20"/>
              </w:rPr>
            </w:pPr>
          </w:p>
        </w:tc>
        <w:tc>
          <w:tcPr>
            <w:tcW w:w="4040" w:type="dxa"/>
            <w:tcBorders>
              <w:top w:val="single" w:sz="4" w:space="0" w:color="auto"/>
              <w:left w:val="single" w:sz="4" w:space="0" w:color="auto"/>
              <w:bottom w:val="single" w:sz="4" w:space="0" w:color="auto"/>
              <w:right w:val="single" w:sz="4" w:space="0" w:color="auto"/>
            </w:tcBorders>
          </w:tcPr>
          <w:p w:rsidR="00BB0041" w:rsidRDefault="00BB0041" w:rsidP="008C54DC">
            <w:pPr>
              <w:spacing w:after="0"/>
              <w:rPr>
                <w:rFonts w:cstheme="minorHAnsi"/>
                <w:sz w:val="20"/>
                <w:szCs w:val="20"/>
              </w:rPr>
            </w:pPr>
          </w:p>
        </w:tc>
        <w:tc>
          <w:tcPr>
            <w:tcW w:w="4736"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jc w:val="center"/>
              <w:rPr>
                <w:rFonts w:cstheme="minorHAnsi"/>
                <w:sz w:val="20"/>
                <w:szCs w:val="20"/>
              </w:rPr>
            </w:pPr>
            <w:r>
              <w:rPr>
                <w:rFonts w:cstheme="minorHAnsi"/>
                <w:sz w:val="20"/>
                <w:szCs w:val="20"/>
              </w:rPr>
              <w:t>RAZEM</w:t>
            </w:r>
          </w:p>
        </w:tc>
        <w:tc>
          <w:tcPr>
            <w:tcW w:w="567" w:type="dxa"/>
            <w:tcBorders>
              <w:top w:val="single" w:sz="4" w:space="0" w:color="auto"/>
              <w:left w:val="single" w:sz="4" w:space="0" w:color="auto"/>
              <w:bottom w:val="single" w:sz="4" w:space="0" w:color="auto"/>
              <w:right w:val="single" w:sz="4" w:space="0" w:color="auto"/>
            </w:tcBorders>
            <w:hideMark/>
          </w:tcPr>
          <w:p w:rsidR="00BB0041" w:rsidRDefault="00BB0041" w:rsidP="008C54DC">
            <w:pPr>
              <w:spacing w:after="0"/>
              <w:rPr>
                <w:rFonts w:cstheme="minorHAnsi"/>
                <w:sz w:val="20"/>
                <w:szCs w:val="20"/>
              </w:rPr>
            </w:pPr>
            <w:r>
              <w:rPr>
                <w:rFonts w:cstheme="minorHAnsi"/>
                <w:sz w:val="20"/>
                <w:szCs w:val="20"/>
              </w:rPr>
              <w:t>10</w:t>
            </w:r>
          </w:p>
        </w:tc>
      </w:tr>
    </w:tbl>
    <w:p w:rsidR="00BB0041" w:rsidRDefault="00BB0041" w:rsidP="00BB0041">
      <w:pPr>
        <w:spacing w:before="100" w:beforeAutospacing="1" w:after="100" w:afterAutospacing="1"/>
      </w:pPr>
      <w:r w:rsidRPr="004A68E2">
        <w:rPr>
          <w:rFonts w:cstheme="minorHAnsi"/>
          <w:b/>
          <w:sz w:val="20"/>
          <w:szCs w:val="20"/>
        </w:rPr>
        <w:t>XII</w:t>
      </w:r>
      <w:r>
        <w:rPr>
          <w:rFonts w:cstheme="minorHAnsi"/>
          <w:sz w:val="20"/>
          <w:szCs w:val="20"/>
        </w:rPr>
        <w:t xml:space="preserve">. </w:t>
      </w:r>
      <w:r>
        <w:rPr>
          <w:sz w:val="20"/>
          <w:szCs w:val="20"/>
        </w:rPr>
        <w:t>  Informacja o przetwarzaniu danych osobowych.</w:t>
      </w:r>
    </w:p>
    <w:p w:rsidR="00BB0041" w:rsidRPr="00B01EF3" w:rsidRDefault="00BB0041" w:rsidP="00BB0041">
      <w:pPr>
        <w:jc w:val="both"/>
        <w:rPr>
          <w:rFonts w:cstheme="minorHAnsi"/>
          <w:sz w:val="20"/>
          <w:szCs w:val="20"/>
        </w:rPr>
      </w:pPr>
      <w:r w:rsidRPr="00B01EF3">
        <w:rPr>
          <w:rFonts w:cstheme="minorHAnsi"/>
          <w:sz w:val="20"/>
          <w:szCs w:val="20"/>
        </w:rPr>
        <w:t xml:space="preserve">W związku z realizacją wymogów Rozporządzenia Parlamentu Europejskiego i Rady (UE) 2016/679 </w:t>
      </w:r>
      <w:r w:rsidRPr="00B01EF3">
        <w:rPr>
          <w:rFonts w:cstheme="minorHAnsi"/>
          <w:sz w:val="20"/>
          <w:szCs w:val="20"/>
        </w:rPr>
        <w:br/>
        <w:t xml:space="preserve">z dnia 27 kwietnia 2016 r. w sprawie ochrony osób fizycznych w związku z przetwarzaniem danych osobowych </w:t>
      </w:r>
      <w:r w:rsidRPr="00B01EF3">
        <w:rPr>
          <w:rFonts w:cstheme="minorHAnsi"/>
          <w:sz w:val="20"/>
          <w:szCs w:val="20"/>
        </w:rPr>
        <w:br/>
        <w:t>i w sprawie swobodnego przepływu takich danych oraz uchylenia dyrektywy 95/46/WE (ogólne rozporządzenie o ochronie danych osobowych „RODO”) informujemy, że:</w:t>
      </w:r>
    </w:p>
    <w:p w:rsidR="00BB0041" w:rsidRPr="00B01EF3" w:rsidRDefault="00BB0041" w:rsidP="00BB0041">
      <w:pPr>
        <w:jc w:val="both"/>
        <w:rPr>
          <w:rFonts w:cstheme="minorHAnsi"/>
          <w:sz w:val="20"/>
          <w:szCs w:val="20"/>
        </w:rPr>
      </w:pPr>
    </w:p>
    <w:p w:rsidR="00BB0041" w:rsidRPr="00B01EF3" w:rsidRDefault="00BB0041" w:rsidP="00BB0041">
      <w:pPr>
        <w:numPr>
          <w:ilvl w:val="0"/>
          <w:numId w:val="14"/>
        </w:numPr>
        <w:suppressAutoHyphens/>
        <w:autoSpaceDN w:val="0"/>
        <w:spacing w:after="0" w:line="240" w:lineRule="auto"/>
        <w:jc w:val="both"/>
        <w:textAlignment w:val="baseline"/>
        <w:rPr>
          <w:rFonts w:cstheme="minorHAnsi"/>
          <w:sz w:val="20"/>
          <w:szCs w:val="20"/>
        </w:rPr>
      </w:pPr>
      <w:r w:rsidRPr="00B01EF3">
        <w:rPr>
          <w:rFonts w:cstheme="minorHAnsi"/>
          <w:sz w:val="20"/>
          <w:szCs w:val="20"/>
        </w:rPr>
        <w:t xml:space="preserve">Administratorem Pani/Pana danych osobowych jest Kielecki Park Technologiczny, z siedzibą w Kielcach, </w:t>
      </w:r>
      <w:r w:rsidRPr="00B01EF3">
        <w:rPr>
          <w:rFonts w:cstheme="minorHAnsi"/>
          <w:sz w:val="20"/>
          <w:szCs w:val="20"/>
        </w:rPr>
        <w:br/>
        <w:t xml:space="preserve">ul. Olszewskiego 6, 25-663 Kielce (dalej: KPT), tel. 41 278 72 00, e-mail: </w:t>
      </w:r>
      <w:hyperlink r:id="rId10" w:history="1">
        <w:r w:rsidRPr="000F4AC6">
          <w:rPr>
            <w:rStyle w:val="Hipercze"/>
            <w:rFonts w:cstheme="minorHAnsi"/>
            <w:sz w:val="20"/>
            <w:szCs w:val="20"/>
          </w:rPr>
          <w:t>biuro@technopark.kielce.pl</w:t>
        </w:r>
      </w:hyperlink>
    </w:p>
    <w:p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 xml:space="preserve">Kontakt z Inspektorem Ochrony Danych możliwy jest pod adresem e-mail: </w:t>
      </w:r>
      <w:hyperlink r:id="rId11" w:history="1">
        <w:r w:rsidRPr="00B01EF3">
          <w:rPr>
            <w:rFonts w:cstheme="minorHAnsi"/>
            <w:sz w:val="20"/>
            <w:szCs w:val="20"/>
          </w:rPr>
          <w:t>iod@technopark.kielce.pl</w:t>
        </w:r>
      </w:hyperlink>
      <w:r w:rsidRPr="00B01EF3">
        <w:rPr>
          <w:rFonts w:cstheme="minorHAnsi"/>
          <w:sz w:val="20"/>
          <w:szCs w:val="20"/>
        </w:rPr>
        <w:t xml:space="preserve"> lub listownie pod adresem KPT.</w:t>
      </w:r>
    </w:p>
    <w:p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Pani/a dane osobowe będą przetwarzane w celach związanych z postępowaniem przetargowym na najem lokalu użytkowego, działaniami podejmowanym przed zawarciem umowy, na podstawie art. 6 ust. 1 lit b. RODO, a po jej zakończeniu w związku z dochodzeniem/obroną roszczeń (art. 6 ust. 1 lit. f. RODO), jako uzasadniony interes administratora danych.</w:t>
      </w:r>
    </w:p>
    <w:p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Pani/a dane osobowe mogą być przekazane podmiotom, które uprawnione są do ich otrzymania przepisami prawa, jak również do podmiotów prowadzących działalność nadzorczą lub kontrolną wobec Kieleckiego Parku Technologicznego. Ponadto mogą być one ujawnione podmiotom, z którymi KPT zawarł umowę na świadczenie usług (np. hostingowych, IT, doradczych, szkoleniowych, obsługi prawnej) wykorzystywanych przy ich przetwarzaniu.</w:t>
      </w:r>
    </w:p>
    <w:p w:rsidR="00BB0041" w:rsidRPr="00B01EF3" w:rsidRDefault="00BB0041" w:rsidP="00BB0041">
      <w:pPr>
        <w:numPr>
          <w:ilvl w:val="0"/>
          <w:numId w:val="14"/>
        </w:numPr>
        <w:suppressAutoHyphens/>
        <w:spacing w:after="0" w:line="240" w:lineRule="auto"/>
        <w:jc w:val="both"/>
        <w:rPr>
          <w:rFonts w:cstheme="minorHAnsi"/>
          <w:sz w:val="20"/>
          <w:szCs w:val="20"/>
        </w:rPr>
      </w:pPr>
      <w:bookmarkStart w:id="1" w:name="_Hlk56677927"/>
      <w:r w:rsidRPr="00B01EF3">
        <w:rPr>
          <w:rFonts w:cstheme="minorHAnsi"/>
          <w:sz w:val="20"/>
          <w:szCs w:val="20"/>
        </w:rPr>
        <w:t>Dane osobowe będą przechowywane przez okres prowadzenia przetargu na wynajem nieruchomości zabudowanych, stanowiących własność Miasta Kielce i będących w trwałym zarządzie Kieleckiego Parku Technologicznego – Strefa II – Centrum Technologiczne (czas na składanie i rozpatrzenie ofert), a następnie przez okres wymagany przepisami prawa (prawa podatkowego, dotyczącego ochrony roszczeń)</w:t>
      </w:r>
      <w:r>
        <w:rPr>
          <w:rFonts w:cstheme="minorHAnsi"/>
          <w:sz w:val="20"/>
          <w:szCs w:val="20"/>
        </w:rPr>
        <w:t xml:space="preserve"> </w:t>
      </w:r>
      <w:r w:rsidRPr="00B01EF3">
        <w:rPr>
          <w:rFonts w:cstheme="minorHAnsi"/>
          <w:sz w:val="20"/>
          <w:szCs w:val="20"/>
        </w:rPr>
        <w:t xml:space="preserve">czy wynikający z instrukcji kancelaryjnej, która określa okresy przechowywania dokumentacji. </w:t>
      </w:r>
    </w:p>
    <w:bookmarkEnd w:id="1"/>
    <w:p w:rsidR="00BB0041" w:rsidRPr="00B01EF3" w:rsidRDefault="00BB0041" w:rsidP="00BB0041">
      <w:pPr>
        <w:pStyle w:val="Akapitzlist"/>
        <w:numPr>
          <w:ilvl w:val="0"/>
          <w:numId w:val="14"/>
        </w:numPr>
        <w:spacing w:after="0" w:line="240" w:lineRule="auto"/>
        <w:jc w:val="both"/>
        <w:rPr>
          <w:rFonts w:cstheme="minorHAnsi"/>
          <w:sz w:val="20"/>
          <w:szCs w:val="20"/>
        </w:rPr>
      </w:pPr>
      <w:r w:rsidRPr="00B01EF3">
        <w:rPr>
          <w:rFonts w:cstheme="minorHAnsi"/>
          <w:sz w:val="20"/>
          <w:szCs w:val="20"/>
        </w:rPr>
        <w:t>Przysługuje Pani/u prawo dostępu do swoich danych, ich sprostowania</w:t>
      </w:r>
      <w:r w:rsidRPr="00B01EF3">
        <w:rPr>
          <w:rFonts w:cstheme="minorHAnsi"/>
          <w:sz w:val="20"/>
          <w:szCs w:val="20"/>
          <w:vertAlign w:val="superscript"/>
        </w:rPr>
        <w:t>*</w:t>
      </w:r>
      <w:r w:rsidRPr="00B01EF3">
        <w:rPr>
          <w:rFonts w:cstheme="minorHAnsi"/>
          <w:sz w:val="20"/>
          <w:szCs w:val="20"/>
        </w:rPr>
        <w:t>, prawo do uzyskania kopii danych, ograniczenia przetwarzania</w:t>
      </w:r>
      <w:r w:rsidRPr="00B01EF3">
        <w:rPr>
          <w:rFonts w:cstheme="minorHAnsi"/>
          <w:sz w:val="20"/>
          <w:szCs w:val="20"/>
          <w:vertAlign w:val="superscript"/>
        </w:rPr>
        <w:t>**</w:t>
      </w:r>
      <w:r w:rsidRPr="00B01EF3">
        <w:rPr>
          <w:rFonts w:cstheme="minorHAnsi"/>
          <w:sz w:val="20"/>
          <w:szCs w:val="20"/>
        </w:rPr>
        <w:t>, prawo do ich usunięcia po okresie wynikającym z przepisów prawa oraz prawo do wniesienia sprzeciwu wobec przetwarzania danych (w zakresie związanym z przetwarzaniem na podstawie z prawnie uzasadnionego interesu administratora tj. obroną roszczeń (w pozostałym zakresie prawo do sprzeciwu nie obowiązuje)).</w:t>
      </w:r>
    </w:p>
    <w:p w:rsidR="00BB0041" w:rsidRPr="00B01EF3" w:rsidRDefault="00BB0041" w:rsidP="00BB0041">
      <w:pPr>
        <w:pStyle w:val="Akapitzlist"/>
        <w:numPr>
          <w:ilvl w:val="0"/>
          <w:numId w:val="14"/>
        </w:numPr>
        <w:spacing w:after="0" w:line="240" w:lineRule="auto"/>
        <w:jc w:val="both"/>
        <w:rPr>
          <w:rFonts w:cstheme="minorHAnsi"/>
          <w:sz w:val="20"/>
          <w:szCs w:val="20"/>
        </w:rPr>
      </w:pPr>
      <w:r w:rsidRPr="00B01EF3">
        <w:rPr>
          <w:rFonts w:cstheme="minorHAnsi"/>
          <w:sz w:val="20"/>
          <w:szCs w:val="20"/>
        </w:rPr>
        <w:t xml:space="preserve">Mamy nadzieję, że nie będzie to konieczne, ale jeśli uważa Pani/Pan, że dane przetwarzane są niezgodnie </w:t>
      </w:r>
      <w:r w:rsidRPr="00B01EF3">
        <w:rPr>
          <w:rFonts w:cstheme="minorHAnsi"/>
          <w:sz w:val="20"/>
          <w:szCs w:val="20"/>
        </w:rPr>
        <w:br/>
        <w:t>z prawem przysługuje Pani/u prawo wniesienia skargi do Urzędu Ochrony Danych Osobowych (ul. Stawki 2, 00 - 193 Warszawa). Zachęcamy jednak przed podjęciem takiej decyzji do kontaktu z naszym IOD.</w:t>
      </w:r>
    </w:p>
    <w:p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 xml:space="preserve">Podanie przez Panią/a danych osobowych w zakresie niezbędnym do przeprowadzenia procedury przetargowej jest obowiązkowe. Ich nie podanie skutkować będzie brakiem możliwości wzięcia udziału w postępowaniu przetargowym lub odrzuceniu oferty. </w:t>
      </w:r>
    </w:p>
    <w:p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Pani/a dane nie będą podlegały profilowaniu.</w:t>
      </w:r>
    </w:p>
    <w:p w:rsidR="00BB0041" w:rsidRPr="0017793C" w:rsidRDefault="00BB0041" w:rsidP="00BB0041">
      <w:pPr>
        <w:suppressAutoHyphens/>
        <w:jc w:val="both"/>
        <w:rPr>
          <w:rFonts w:cs="Calibri"/>
        </w:rPr>
      </w:pPr>
    </w:p>
    <w:p w:rsidR="00BB0041" w:rsidRDefault="00BB0041" w:rsidP="00BB0041">
      <w:pPr>
        <w:jc w:val="both"/>
      </w:pPr>
    </w:p>
    <w:p w:rsidR="00BB0041" w:rsidRPr="00400E60" w:rsidRDefault="00BB0041" w:rsidP="00BB0041">
      <w:pPr>
        <w:spacing w:after="120"/>
        <w:ind w:left="284" w:hanging="284"/>
        <w:jc w:val="both"/>
        <w:rPr>
          <w:b/>
          <w:i/>
          <w:sz w:val="4"/>
          <w:szCs w:val="4"/>
        </w:rPr>
      </w:pPr>
      <w:r>
        <w:rPr>
          <w:b/>
          <w:i/>
          <w:sz w:val="4"/>
          <w:szCs w:val="4"/>
        </w:rPr>
        <w:t>_________________________________________________________________________________________________________</w:t>
      </w:r>
    </w:p>
    <w:p w:rsidR="00BB0041" w:rsidRPr="0017793C" w:rsidRDefault="00BB0041" w:rsidP="00BB0041">
      <w:pPr>
        <w:pStyle w:val="Akapitzlist"/>
        <w:ind w:left="142" w:hanging="142"/>
        <w:jc w:val="both"/>
        <w:rPr>
          <w:rFonts w:ascii="Arial" w:hAnsi="Arial" w:cs="Arial"/>
          <w:i/>
          <w:sz w:val="16"/>
          <w:szCs w:val="18"/>
        </w:rPr>
      </w:pPr>
      <w:r>
        <w:rPr>
          <w:rFonts w:ascii="Arial" w:hAnsi="Arial" w:cs="Arial"/>
          <w:b/>
          <w:i/>
          <w:sz w:val="16"/>
          <w:szCs w:val="18"/>
          <w:vertAlign w:val="superscript"/>
        </w:rPr>
        <w:t>*</w:t>
      </w:r>
      <w:r w:rsidRPr="0017793C">
        <w:rPr>
          <w:rFonts w:ascii="Arial" w:hAnsi="Arial" w:cs="Arial"/>
          <w:b/>
          <w:i/>
          <w:sz w:val="16"/>
          <w:szCs w:val="18"/>
        </w:rPr>
        <w:t>Wyjaśnienie:</w:t>
      </w:r>
      <w:r w:rsidRPr="0017793C">
        <w:rPr>
          <w:rFonts w:ascii="Arial" w:hAnsi="Arial" w:cs="Arial"/>
          <w:i/>
          <w:sz w:val="16"/>
          <w:szCs w:val="18"/>
        </w:rPr>
        <w:t xml:space="preserve"> skorzystanie z prawa do sprostowania nie może skutkować zmianą wyniku postępowania przetargowego ani zmianą postanowień umowy w zakresie niezgodnym z ustawą Kodeks cywilny oraz nie może naruszać integralności protokołu oraz jego załączników.</w:t>
      </w:r>
    </w:p>
    <w:p w:rsidR="00BB0041" w:rsidRPr="0017793C" w:rsidRDefault="00BB0041" w:rsidP="00BB0041">
      <w:pPr>
        <w:pStyle w:val="Akapitzlist"/>
        <w:ind w:left="142" w:hanging="142"/>
        <w:jc w:val="both"/>
        <w:rPr>
          <w:sz w:val="4"/>
          <w:szCs w:val="4"/>
        </w:rPr>
      </w:pPr>
    </w:p>
    <w:p w:rsidR="00BB0041" w:rsidRPr="00D26412" w:rsidRDefault="00BB0041" w:rsidP="00BB0041">
      <w:pPr>
        <w:pStyle w:val="Akapitzlist"/>
        <w:ind w:left="142" w:hanging="142"/>
        <w:jc w:val="both"/>
      </w:pPr>
      <w:r w:rsidRPr="0017793C">
        <w:rPr>
          <w:rFonts w:ascii="Arial" w:hAnsi="Arial" w:cs="Arial"/>
          <w:b/>
          <w:i/>
          <w:sz w:val="16"/>
          <w:szCs w:val="18"/>
          <w:vertAlign w:val="superscript"/>
        </w:rPr>
        <w:t xml:space="preserve">** </w:t>
      </w:r>
      <w:r w:rsidRPr="0017793C">
        <w:rPr>
          <w:rFonts w:ascii="Arial" w:hAnsi="Arial" w:cs="Arial"/>
          <w:b/>
          <w:i/>
          <w:sz w:val="16"/>
          <w:szCs w:val="18"/>
        </w:rPr>
        <w:t>Wyjaśnienie:</w:t>
      </w:r>
      <w:r w:rsidRPr="0017793C">
        <w:rPr>
          <w:rFonts w:ascii="Arial" w:hAnsi="Arial" w:cs="Arial"/>
          <w:i/>
          <w:sz w:val="16"/>
          <w:szCs w:val="18"/>
        </w:rPr>
        <w:t xml:space="preserve"> prawo do ograniczenia przetwarzania nie ma zastosowania w odniesieniu do przechowywania, w celu zapewnienia korzystania ze środków ochrony prawnej lub w celu ochrony praw innej os</w:t>
      </w:r>
      <w:r>
        <w:rPr>
          <w:rFonts w:ascii="Arial" w:hAnsi="Arial" w:cs="Arial"/>
          <w:i/>
          <w:sz w:val="16"/>
          <w:szCs w:val="18"/>
        </w:rPr>
        <w:t xml:space="preserve">oby fizycznej lub prawnej, lub </w:t>
      </w:r>
      <w:r w:rsidRPr="0017793C">
        <w:rPr>
          <w:rFonts w:ascii="Arial" w:hAnsi="Arial" w:cs="Arial"/>
          <w:i/>
          <w:sz w:val="16"/>
          <w:szCs w:val="18"/>
        </w:rPr>
        <w:t xml:space="preserve">z uwagi na ważne względy interesu publicznego Unii Europejskiej lub państwa członkowskiego. Zgłoszenie żądania ograniczenia </w:t>
      </w:r>
      <w:r w:rsidRPr="0017793C">
        <w:rPr>
          <w:rFonts w:ascii="Arial" w:hAnsi="Arial" w:cs="Arial"/>
          <w:i/>
          <w:sz w:val="16"/>
          <w:szCs w:val="18"/>
        </w:rPr>
        <w:lastRenderedPageBreak/>
        <w:t>przetwarzania,</w:t>
      </w:r>
      <w:r>
        <w:rPr>
          <w:rFonts w:ascii="Arial" w:hAnsi="Arial" w:cs="Arial"/>
          <w:i/>
          <w:sz w:val="16"/>
          <w:szCs w:val="18"/>
        </w:rPr>
        <w:t xml:space="preserve"> o którym mowa w art. 18 ust. 1 </w:t>
      </w:r>
      <w:r w:rsidRPr="0017793C">
        <w:rPr>
          <w:rFonts w:ascii="Arial" w:hAnsi="Arial" w:cs="Arial"/>
          <w:i/>
          <w:sz w:val="16"/>
          <w:szCs w:val="18"/>
        </w:rPr>
        <w:t>rozporządzenia 2016/679, nie ogranicza przetwarzania danych osobowych do czasu zakończenia tego postępowania.</w:t>
      </w:r>
    </w:p>
    <w:p w:rsidR="00BB0041" w:rsidRPr="00011B4C" w:rsidRDefault="00BB0041" w:rsidP="00BB0041"/>
    <w:p w:rsidR="00BB0041" w:rsidRDefault="00BB0041" w:rsidP="007E5D31">
      <w:pPr>
        <w:ind w:left="5664"/>
      </w:pPr>
    </w:p>
    <w:sectPr w:rsidR="00BB004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3D5" w:rsidRDefault="002F53D5" w:rsidP="007E5D31">
      <w:pPr>
        <w:spacing w:after="0" w:line="240" w:lineRule="auto"/>
      </w:pPr>
      <w:r>
        <w:separator/>
      </w:r>
    </w:p>
  </w:endnote>
  <w:endnote w:type="continuationSeparator" w:id="0">
    <w:p w:rsidR="002F53D5" w:rsidRDefault="002F53D5" w:rsidP="007E5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Roma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D31" w:rsidRDefault="007E5D31">
    <w:pPr>
      <w:pStyle w:val="Stopka"/>
    </w:pPr>
    <w:r>
      <w:rPr>
        <w:noProof/>
        <w:lang w:eastAsia="pl-PL"/>
      </w:rPr>
      <w:drawing>
        <wp:anchor distT="0" distB="0" distL="114300" distR="114300" simplePos="0" relativeHeight="251659264" behindDoc="0" locked="0" layoutInCell="1" allowOverlap="1">
          <wp:simplePos x="0" y="0"/>
          <wp:positionH relativeFrom="page">
            <wp:posOffset>9559</wp:posOffset>
          </wp:positionH>
          <wp:positionV relativeFrom="page">
            <wp:posOffset>9620250</wp:posOffset>
          </wp:positionV>
          <wp:extent cx="7540882" cy="1076400"/>
          <wp:effectExtent l="0" t="0" r="0" b="0"/>
          <wp:wrapThrough wrapText="bothSides">
            <wp:wrapPolygon edited="0">
              <wp:start x="18935" y="4205"/>
              <wp:lineTo x="1528" y="5352"/>
              <wp:lineTo x="1528" y="13763"/>
              <wp:lineTo x="18935" y="14527"/>
              <wp:lineTo x="20409" y="14527"/>
              <wp:lineTo x="20463" y="4205"/>
              <wp:lineTo x="18935" y="4205"/>
            </wp:wrapPolygon>
          </wp:wrapThrough>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0882" cy="10764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3D5" w:rsidRDefault="002F53D5" w:rsidP="007E5D31">
      <w:pPr>
        <w:spacing w:after="0" w:line="240" w:lineRule="auto"/>
      </w:pPr>
      <w:r>
        <w:separator/>
      </w:r>
    </w:p>
  </w:footnote>
  <w:footnote w:type="continuationSeparator" w:id="0">
    <w:p w:rsidR="002F53D5" w:rsidRDefault="002F53D5" w:rsidP="007E5D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D31" w:rsidRDefault="007E5D31">
    <w:pPr>
      <w:pStyle w:val="Nagwek"/>
    </w:pPr>
    <w:r>
      <w:rPr>
        <w:noProof/>
        <w:lang w:eastAsia="pl-PL"/>
      </w:rPr>
      <w:drawing>
        <wp:anchor distT="0" distB="0" distL="114300" distR="114300" simplePos="0" relativeHeight="251658240" behindDoc="0" locked="0" layoutInCell="1" allowOverlap="1">
          <wp:simplePos x="895350" y="447675"/>
          <wp:positionH relativeFrom="page">
            <wp:align>left</wp:align>
          </wp:positionH>
          <wp:positionV relativeFrom="page">
            <wp:align>top</wp:align>
          </wp:positionV>
          <wp:extent cx="7560000" cy="1258984"/>
          <wp:effectExtent l="0" t="0" r="0" b="0"/>
          <wp:wrapThrough wrapText="bothSides">
            <wp:wrapPolygon edited="0">
              <wp:start x="16982" y="2942"/>
              <wp:lineTo x="9906" y="6212"/>
              <wp:lineTo x="1578" y="8827"/>
              <wp:lineTo x="1524" y="15693"/>
              <wp:lineTo x="1633" y="16674"/>
              <wp:lineTo x="14805" y="17328"/>
              <wp:lineTo x="19377" y="17328"/>
              <wp:lineTo x="19377" y="14059"/>
              <wp:lineTo x="19650" y="14059"/>
              <wp:lineTo x="20466" y="10135"/>
              <wp:lineTo x="20412" y="2942"/>
              <wp:lineTo x="16982" y="2942"/>
            </wp:wrapPolygon>
          </wp:wrapThrough>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25898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E5D31" w:rsidRDefault="007E5D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30112"/>
    <w:multiLevelType w:val="hybridMultilevel"/>
    <w:tmpl w:val="F4423F3C"/>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3A2F5957"/>
    <w:multiLevelType w:val="singleLevel"/>
    <w:tmpl w:val="0415000F"/>
    <w:lvl w:ilvl="0">
      <w:start w:val="1"/>
      <w:numFmt w:val="decimal"/>
      <w:lvlText w:val="%1."/>
      <w:lvlJc w:val="left"/>
      <w:pPr>
        <w:ind w:left="720" w:hanging="360"/>
      </w:pPr>
    </w:lvl>
  </w:abstractNum>
  <w:abstractNum w:abstractNumId="2" w15:restartNumberingAfterBreak="0">
    <w:nsid w:val="40B80FF9"/>
    <w:multiLevelType w:val="hybridMultilevel"/>
    <w:tmpl w:val="E482166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 w15:restartNumberingAfterBreak="0">
    <w:nsid w:val="49AD2DEE"/>
    <w:multiLevelType w:val="hybridMultilevel"/>
    <w:tmpl w:val="6652B7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51E50248"/>
    <w:multiLevelType w:val="hybridMultilevel"/>
    <w:tmpl w:val="5148A74C"/>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54E76375"/>
    <w:multiLevelType w:val="hybridMultilevel"/>
    <w:tmpl w:val="842E768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BBA2C49"/>
    <w:multiLevelType w:val="hybridMultilevel"/>
    <w:tmpl w:val="500A02C2"/>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5CD642E3"/>
    <w:multiLevelType w:val="hybridMultilevel"/>
    <w:tmpl w:val="A790A8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D1403D0"/>
    <w:multiLevelType w:val="hybridMultilevel"/>
    <w:tmpl w:val="FAF40C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28A205A"/>
    <w:multiLevelType w:val="hybridMultilevel"/>
    <w:tmpl w:val="6AFA6782"/>
    <w:lvl w:ilvl="0" w:tplc="FFFFFFFF">
      <w:start w:val="1"/>
      <w:numFmt w:val="decimal"/>
      <w:lvlText w:val="%1)"/>
      <w:lvlJc w:val="left"/>
      <w:pPr>
        <w:tabs>
          <w:tab w:val="num" w:pos="786"/>
        </w:tabs>
        <w:ind w:left="786" w:hanging="360"/>
      </w:pPr>
    </w:lvl>
    <w:lvl w:ilvl="1" w:tplc="04150017">
      <w:start w:val="1"/>
      <w:numFmt w:val="lowerLetter"/>
      <w:lvlText w:val="%2)"/>
      <w:lvlJc w:val="left"/>
      <w:pPr>
        <w:tabs>
          <w:tab w:val="num" w:pos="1485"/>
        </w:tabs>
        <w:ind w:left="1485" w:hanging="360"/>
      </w:pPr>
    </w:lvl>
    <w:lvl w:ilvl="2" w:tplc="FFFFFFFF">
      <w:start w:val="1"/>
      <w:numFmt w:val="lowerRoman"/>
      <w:lvlText w:val="%3."/>
      <w:lvlJc w:val="right"/>
      <w:pPr>
        <w:tabs>
          <w:tab w:val="num" w:pos="2205"/>
        </w:tabs>
        <w:ind w:left="2205" w:hanging="180"/>
      </w:pPr>
    </w:lvl>
    <w:lvl w:ilvl="3" w:tplc="FFFFFFFF">
      <w:start w:val="1"/>
      <w:numFmt w:val="decimal"/>
      <w:lvlText w:val="%4."/>
      <w:lvlJc w:val="left"/>
      <w:pPr>
        <w:tabs>
          <w:tab w:val="num" w:pos="2925"/>
        </w:tabs>
        <w:ind w:left="2925" w:hanging="360"/>
      </w:pPr>
    </w:lvl>
    <w:lvl w:ilvl="4" w:tplc="FFFFFFFF">
      <w:start w:val="1"/>
      <w:numFmt w:val="lowerLetter"/>
      <w:lvlText w:val="%5."/>
      <w:lvlJc w:val="left"/>
      <w:pPr>
        <w:tabs>
          <w:tab w:val="num" w:pos="3645"/>
        </w:tabs>
        <w:ind w:left="3645" w:hanging="360"/>
      </w:pPr>
    </w:lvl>
    <w:lvl w:ilvl="5" w:tplc="FFFFFFFF">
      <w:start w:val="1"/>
      <w:numFmt w:val="lowerRoman"/>
      <w:lvlText w:val="%6."/>
      <w:lvlJc w:val="right"/>
      <w:pPr>
        <w:tabs>
          <w:tab w:val="num" w:pos="4365"/>
        </w:tabs>
        <w:ind w:left="4365" w:hanging="180"/>
      </w:pPr>
    </w:lvl>
    <w:lvl w:ilvl="6" w:tplc="FFFFFFFF">
      <w:start w:val="1"/>
      <w:numFmt w:val="decimal"/>
      <w:lvlText w:val="%7."/>
      <w:lvlJc w:val="left"/>
      <w:pPr>
        <w:tabs>
          <w:tab w:val="num" w:pos="5085"/>
        </w:tabs>
        <w:ind w:left="5085" w:hanging="360"/>
      </w:pPr>
    </w:lvl>
    <w:lvl w:ilvl="7" w:tplc="FFFFFFFF">
      <w:start w:val="1"/>
      <w:numFmt w:val="lowerLetter"/>
      <w:lvlText w:val="%8."/>
      <w:lvlJc w:val="left"/>
      <w:pPr>
        <w:tabs>
          <w:tab w:val="num" w:pos="5805"/>
        </w:tabs>
        <w:ind w:left="5805" w:hanging="360"/>
      </w:pPr>
    </w:lvl>
    <w:lvl w:ilvl="8" w:tplc="FFFFFFFF">
      <w:start w:val="1"/>
      <w:numFmt w:val="lowerRoman"/>
      <w:lvlText w:val="%9."/>
      <w:lvlJc w:val="right"/>
      <w:pPr>
        <w:tabs>
          <w:tab w:val="num" w:pos="6525"/>
        </w:tabs>
        <w:ind w:left="6525" w:hanging="180"/>
      </w:pPr>
    </w:lvl>
  </w:abstractNum>
  <w:abstractNum w:abstractNumId="10" w15:restartNumberingAfterBreak="0">
    <w:nsid w:val="6BD815E8"/>
    <w:multiLevelType w:val="hybridMultilevel"/>
    <w:tmpl w:val="37426BB0"/>
    <w:lvl w:ilvl="0" w:tplc="40903FC0">
      <w:start w:val="1"/>
      <w:numFmt w:val="upperRoman"/>
      <w:lvlText w:val="%1."/>
      <w:lvlJc w:val="left"/>
      <w:pPr>
        <w:ind w:left="2520" w:hanging="72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11" w15:restartNumberingAfterBreak="0">
    <w:nsid w:val="6D0E0BF0"/>
    <w:multiLevelType w:val="hybridMultilevel"/>
    <w:tmpl w:val="CDEA3E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EF20C40"/>
    <w:multiLevelType w:val="multilevel"/>
    <w:tmpl w:val="697C4636"/>
    <w:lvl w:ilvl="0">
      <w:start w:val="1"/>
      <w:numFmt w:val="lowerLetter"/>
      <w:lvlText w:val="%1)"/>
      <w:lvlJc w:val="left"/>
      <w:pPr>
        <w:ind w:left="360" w:hanging="360"/>
      </w:pPr>
      <w:rPr>
        <w:b w:val="0"/>
        <w:i w:val="0"/>
        <w:strike w:val="0"/>
        <w:dstrike w:val="0"/>
        <w:u w:val="none"/>
        <w:effect w:val="none"/>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3" w15:restartNumberingAfterBreak="0">
    <w:nsid w:val="7E2A542F"/>
    <w:multiLevelType w:val="hybridMultilevel"/>
    <w:tmpl w:val="D20470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1"/>
    <w:lvlOverride w:ilvl="0">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D31"/>
    <w:rsid w:val="0011311D"/>
    <w:rsid w:val="002A4E86"/>
    <w:rsid w:val="002B7131"/>
    <w:rsid w:val="002D612E"/>
    <w:rsid w:val="002F53D5"/>
    <w:rsid w:val="003550A9"/>
    <w:rsid w:val="00355DA5"/>
    <w:rsid w:val="00380DF1"/>
    <w:rsid w:val="004F1B76"/>
    <w:rsid w:val="00541C7F"/>
    <w:rsid w:val="00684F45"/>
    <w:rsid w:val="00741A8B"/>
    <w:rsid w:val="00793935"/>
    <w:rsid w:val="007C4555"/>
    <w:rsid w:val="007D3408"/>
    <w:rsid w:val="007E5D31"/>
    <w:rsid w:val="008618AF"/>
    <w:rsid w:val="00885A84"/>
    <w:rsid w:val="0089388B"/>
    <w:rsid w:val="008C0206"/>
    <w:rsid w:val="008C46C6"/>
    <w:rsid w:val="00913A78"/>
    <w:rsid w:val="009E16BE"/>
    <w:rsid w:val="00A01AFD"/>
    <w:rsid w:val="00A1775B"/>
    <w:rsid w:val="00A523EC"/>
    <w:rsid w:val="00A606CB"/>
    <w:rsid w:val="00AD28D6"/>
    <w:rsid w:val="00B10233"/>
    <w:rsid w:val="00B44376"/>
    <w:rsid w:val="00BB0041"/>
    <w:rsid w:val="00BB3DD1"/>
    <w:rsid w:val="00BC74A6"/>
    <w:rsid w:val="00BE6EAA"/>
    <w:rsid w:val="00C21C1C"/>
    <w:rsid w:val="00D00040"/>
    <w:rsid w:val="00D1656E"/>
    <w:rsid w:val="00DD1822"/>
    <w:rsid w:val="00DD1ECD"/>
    <w:rsid w:val="00E06C71"/>
    <w:rsid w:val="00EA68BF"/>
    <w:rsid w:val="00EC2285"/>
    <w:rsid w:val="00F33C46"/>
    <w:rsid w:val="00F72093"/>
    <w:rsid w:val="00FB7D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D88F12D5-989E-43D4-8F7A-E87C518CF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4555"/>
    <w:pPr>
      <w:spacing w:line="256" w:lineRule="auto"/>
    </w:pPr>
  </w:style>
  <w:style w:type="paragraph" w:styleId="Nagwek1">
    <w:name w:val="heading 1"/>
    <w:basedOn w:val="Normalny"/>
    <w:next w:val="Normalny"/>
    <w:link w:val="Nagwek1Znak"/>
    <w:qFormat/>
    <w:rsid w:val="007C4555"/>
    <w:pPr>
      <w:keepNext/>
      <w:spacing w:before="240" w:after="60" w:line="240" w:lineRule="auto"/>
      <w:outlineLvl w:val="0"/>
    </w:pPr>
    <w:rPr>
      <w:rFonts w:ascii="Arial" w:eastAsia="Arial Unicode MS"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E5D31"/>
    <w:pPr>
      <w:tabs>
        <w:tab w:val="center" w:pos="4536"/>
        <w:tab w:val="right" w:pos="9072"/>
      </w:tabs>
      <w:spacing w:after="0" w:line="240" w:lineRule="auto"/>
    </w:pPr>
  </w:style>
  <w:style w:type="character" w:customStyle="1" w:styleId="NagwekZnak">
    <w:name w:val="Nagłówek Znak"/>
    <w:basedOn w:val="Domylnaczcionkaakapitu"/>
    <w:link w:val="Nagwek"/>
    <w:rsid w:val="007E5D31"/>
  </w:style>
  <w:style w:type="paragraph" w:styleId="Stopka">
    <w:name w:val="footer"/>
    <w:basedOn w:val="Normalny"/>
    <w:link w:val="StopkaZnak"/>
    <w:uiPriority w:val="99"/>
    <w:unhideWhenUsed/>
    <w:rsid w:val="007E5D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5D31"/>
  </w:style>
  <w:style w:type="paragraph" w:styleId="Akapitzlist">
    <w:name w:val="List Paragraph"/>
    <w:basedOn w:val="Normalny"/>
    <w:uiPriority w:val="34"/>
    <w:qFormat/>
    <w:rsid w:val="00A523EC"/>
    <w:pPr>
      <w:ind w:left="720"/>
      <w:contextualSpacing/>
    </w:pPr>
  </w:style>
  <w:style w:type="paragraph" w:styleId="Tekstdymka">
    <w:name w:val="Balloon Text"/>
    <w:basedOn w:val="Normalny"/>
    <w:link w:val="TekstdymkaZnak"/>
    <w:uiPriority w:val="99"/>
    <w:semiHidden/>
    <w:unhideWhenUsed/>
    <w:rsid w:val="00F33C4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3C46"/>
    <w:rPr>
      <w:rFonts w:ascii="Segoe UI" w:hAnsi="Segoe UI" w:cs="Segoe UI"/>
      <w:sz w:val="18"/>
      <w:szCs w:val="18"/>
    </w:rPr>
  </w:style>
  <w:style w:type="character" w:customStyle="1" w:styleId="Nagwek1Znak">
    <w:name w:val="Nagłówek 1 Znak"/>
    <w:basedOn w:val="Domylnaczcionkaakapitu"/>
    <w:link w:val="Nagwek1"/>
    <w:rsid w:val="007C4555"/>
    <w:rPr>
      <w:rFonts w:ascii="Arial" w:eastAsia="Arial Unicode MS" w:hAnsi="Arial" w:cs="Arial"/>
      <w:b/>
      <w:bCs/>
      <w:kern w:val="32"/>
      <w:sz w:val="32"/>
      <w:szCs w:val="32"/>
      <w:lang w:eastAsia="pl-PL"/>
    </w:rPr>
  </w:style>
  <w:style w:type="character" w:styleId="Hipercze">
    <w:name w:val="Hyperlink"/>
    <w:uiPriority w:val="99"/>
    <w:unhideWhenUsed/>
    <w:rsid w:val="007C4555"/>
    <w:rPr>
      <w:color w:val="0563C1"/>
      <w:u w:val="single"/>
    </w:rPr>
  </w:style>
  <w:style w:type="character" w:styleId="Pogrubienie">
    <w:name w:val="Strong"/>
    <w:qFormat/>
    <w:rsid w:val="00BB0041"/>
    <w:rPr>
      <w:b/>
      <w:bCs w:val="0"/>
    </w:rPr>
  </w:style>
  <w:style w:type="paragraph" w:styleId="Tytu">
    <w:name w:val="Title"/>
    <w:basedOn w:val="Normalny"/>
    <w:link w:val="TytuZnak"/>
    <w:qFormat/>
    <w:rsid w:val="00BB0041"/>
    <w:pPr>
      <w:spacing w:after="0" w:line="240" w:lineRule="auto"/>
      <w:jc w:val="center"/>
    </w:pPr>
    <w:rPr>
      <w:rFonts w:ascii="Arial Narrow" w:eastAsia="Times New Roman" w:hAnsi="Arial Narrow" w:cs="Times New Roman"/>
      <w:sz w:val="28"/>
      <w:szCs w:val="20"/>
      <w:lang w:eastAsia="pl-PL"/>
    </w:rPr>
  </w:style>
  <w:style w:type="character" w:customStyle="1" w:styleId="TytuZnak">
    <w:name w:val="Tytuł Znak"/>
    <w:basedOn w:val="Domylnaczcionkaakapitu"/>
    <w:link w:val="Tytu"/>
    <w:rsid w:val="00BB0041"/>
    <w:rPr>
      <w:rFonts w:ascii="Arial Narrow" w:eastAsia="Times New Roman" w:hAnsi="Arial Narrow" w:cs="Times New Roman"/>
      <w:sz w:val="28"/>
      <w:szCs w:val="20"/>
      <w:lang w:eastAsia="pl-PL"/>
    </w:rPr>
  </w:style>
  <w:style w:type="paragraph" w:styleId="Tekstpodstawowy3">
    <w:name w:val="Body Text 3"/>
    <w:basedOn w:val="Normalny"/>
    <w:link w:val="Tekstpodstawowy3Znak"/>
    <w:uiPriority w:val="99"/>
    <w:semiHidden/>
    <w:unhideWhenUsed/>
    <w:rsid w:val="00BB0041"/>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semiHidden/>
    <w:rsid w:val="00BB0041"/>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28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technopark.kielce.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technopark.kielce.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biuro@technopark.kielce.pl" TargetMode="External"/><Relationship Id="rId4" Type="http://schemas.openxmlformats.org/officeDocument/2006/relationships/webSettings" Target="webSettings.xml"/><Relationship Id="rId9" Type="http://schemas.openxmlformats.org/officeDocument/2006/relationships/hyperlink" Target="http://www.technopark.kielce.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3108</Words>
  <Characters>18648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bazgrOla</dc:creator>
  <cp:lastModifiedBy>Karolina Grochowina</cp:lastModifiedBy>
  <cp:revision>5</cp:revision>
  <cp:lastPrinted>2024-06-11T05:59:00Z</cp:lastPrinted>
  <dcterms:created xsi:type="dcterms:W3CDTF">2024-06-11T05:55:00Z</dcterms:created>
  <dcterms:modified xsi:type="dcterms:W3CDTF">2024-06-11T06:01:00Z</dcterms:modified>
</cp:coreProperties>
</file>