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FA1" w:rsidRPr="00580702" w:rsidRDefault="00AC1B5D" w:rsidP="00844FA1">
      <w:pPr>
        <w:jc w:val="right"/>
        <w:rPr>
          <w:rFonts w:ascii="Calibri Light" w:hAnsi="Calibri Light" w:cs="Calibri"/>
          <w:szCs w:val="22"/>
        </w:rPr>
      </w:pPr>
      <w:r>
        <w:rPr>
          <w:rFonts w:ascii="Calibri Light" w:hAnsi="Calibri Light" w:cs="Calibri"/>
          <w:szCs w:val="22"/>
        </w:rPr>
        <w:t>KPT-DZI</w:t>
      </w:r>
      <w:r w:rsidR="00844FA1" w:rsidRPr="00580702">
        <w:rPr>
          <w:rFonts w:ascii="Calibri Light" w:hAnsi="Calibri Light" w:cs="Calibri"/>
          <w:szCs w:val="22"/>
        </w:rPr>
        <w:t>.725.</w:t>
      </w:r>
      <w:r w:rsidR="008F2186">
        <w:rPr>
          <w:rFonts w:ascii="Calibri Light" w:hAnsi="Calibri Light" w:cs="Calibri"/>
          <w:szCs w:val="22"/>
        </w:rPr>
        <w:t>1</w:t>
      </w:r>
      <w:r w:rsidR="00844FA1" w:rsidRPr="00580702">
        <w:rPr>
          <w:rFonts w:ascii="Calibri Light" w:hAnsi="Calibri Light" w:cs="Calibri"/>
          <w:szCs w:val="22"/>
        </w:rPr>
        <w:t>.202</w:t>
      </w:r>
      <w:r w:rsidR="008F2186">
        <w:rPr>
          <w:rFonts w:ascii="Calibri Light" w:hAnsi="Calibri Light" w:cs="Calibri"/>
          <w:szCs w:val="22"/>
        </w:rPr>
        <w:t>4</w:t>
      </w:r>
    </w:p>
    <w:p w:rsidR="00844FA1" w:rsidRPr="00580702" w:rsidRDefault="00844FA1" w:rsidP="00844FA1">
      <w:pPr>
        <w:jc w:val="right"/>
        <w:rPr>
          <w:rFonts w:ascii="Calibri Light" w:hAnsi="Calibri Light"/>
          <w:i/>
          <w:sz w:val="16"/>
        </w:rPr>
      </w:pPr>
    </w:p>
    <w:p w:rsidR="00844FA1" w:rsidRPr="00580702" w:rsidRDefault="00844FA1" w:rsidP="00844FA1">
      <w:pPr>
        <w:jc w:val="right"/>
        <w:rPr>
          <w:rFonts w:ascii="Calibri Light" w:hAnsi="Calibri Light"/>
          <w:i/>
          <w:sz w:val="16"/>
        </w:rPr>
      </w:pPr>
      <w:r w:rsidRPr="00580702">
        <w:rPr>
          <w:rFonts w:ascii="Calibri Light" w:hAnsi="Calibri Light"/>
          <w:i/>
          <w:sz w:val="16"/>
        </w:rPr>
        <w:t xml:space="preserve">Załącznik nr 1 </w:t>
      </w:r>
    </w:p>
    <w:p w:rsidR="00844FA1" w:rsidRPr="00580702" w:rsidRDefault="00844FA1" w:rsidP="00844FA1">
      <w:pPr>
        <w:jc w:val="right"/>
        <w:rPr>
          <w:rFonts w:ascii="Calibri Light" w:hAnsi="Calibri Light"/>
          <w:i/>
          <w:sz w:val="16"/>
        </w:rPr>
      </w:pPr>
    </w:p>
    <w:p w:rsidR="00844FA1" w:rsidRPr="00580702" w:rsidRDefault="00844FA1" w:rsidP="00844FA1">
      <w:pPr>
        <w:jc w:val="right"/>
        <w:rPr>
          <w:rFonts w:ascii="Calibri Light" w:hAnsi="Calibri Light"/>
          <w:i/>
          <w:sz w:val="16"/>
        </w:rPr>
      </w:pPr>
      <w:r w:rsidRPr="00580702">
        <w:rPr>
          <w:rFonts w:ascii="Calibri Light" w:hAnsi="Calibri Light"/>
          <w:i/>
          <w:sz w:val="16"/>
        </w:rPr>
        <w:t xml:space="preserve">do dokumentacji pn. </w:t>
      </w:r>
      <w:r w:rsidRPr="00580702">
        <w:rPr>
          <w:rFonts w:ascii="Calibri Light" w:hAnsi="Calibri Light"/>
          <w:bCs/>
          <w:i/>
          <w:sz w:val="16"/>
        </w:rPr>
        <w:t>Opis warunków udziału w postępowaniu w trybie</w:t>
      </w:r>
      <w:r w:rsidRPr="00580702">
        <w:rPr>
          <w:rFonts w:ascii="Calibri Light" w:hAnsi="Calibri Light"/>
          <w:i/>
          <w:sz w:val="16"/>
        </w:rPr>
        <w:t xml:space="preserve"> przetargu nieograniczonego na wynajem nieruchomości zabudowanych, stanowiących własność Miasta Kielce i będących w Trwałym Zarządzie Kieleckiego Parku Technologicznego – Strefa II – Centrum Technologiczne, objętych obszarem Specjalnej Strefy Ekonomicznej „Starachowice” (Podstrefa Kielce)</w:t>
      </w:r>
    </w:p>
    <w:p w:rsidR="00844FA1" w:rsidRDefault="00844FA1" w:rsidP="00844FA1">
      <w:pPr>
        <w:rPr>
          <w:rFonts w:ascii="Calibri Light" w:hAnsi="Calibri Light"/>
          <w:b/>
          <w:sz w:val="28"/>
        </w:rPr>
      </w:pPr>
    </w:p>
    <w:p w:rsidR="00844FA1" w:rsidRPr="00580702" w:rsidRDefault="00844FA1" w:rsidP="00844FA1">
      <w:pPr>
        <w:rPr>
          <w:rFonts w:ascii="Calibri Light" w:hAnsi="Calibri Light"/>
          <w:b/>
          <w:sz w:val="28"/>
        </w:rPr>
      </w:pPr>
    </w:p>
    <w:p w:rsidR="00844FA1" w:rsidRDefault="00844FA1" w:rsidP="00844FA1">
      <w:pPr>
        <w:jc w:val="center"/>
        <w:rPr>
          <w:rFonts w:ascii="Calibri Light" w:hAnsi="Calibri Light"/>
          <w:b/>
          <w:sz w:val="32"/>
        </w:rPr>
      </w:pPr>
      <w:r w:rsidRPr="00580702">
        <w:rPr>
          <w:rFonts w:ascii="Calibri Light" w:hAnsi="Calibri Light"/>
          <w:b/>
          <w:sz w:val="32"/>
        </w:rPr>
        <w:t>OPIS TECHNICZNY</w:t>
      </w:r>
    </w:p>
    <w:p w:rsidR="00CF1990" w:rsidRDefault="00CF1990" w:rsidP="00CF1990">
      <w:pPr>
        <w:spacing w:line="256" w:lineRule="auto"/>
        <w:jc w:val="both"/>
        <w:rPr>
          <w:rFonts w:asciiTheme="minorHAnsi" w:eastAsiaTheme="minorHAnsi" w:hAnsiTheme="minorHAnsi" w:cs="Calibri"/>
          <w:b/>
          <w:bCs/>
          <w:u w:val="single"/>
          <w:lang w:eastAsia="en-US"/>
        </w:rPr>
      </w:pPr>
    </w:p>
    <w:p w:rsidR="00CF1990" w:rsidRDefault="00CF1990" w:rsidP="00CF1990">
      <w:pPr>
        <w:spacing w:line="256" w:lineRule="auto"/>
        <w:jc w:val="both"/>
        <w:rPr>
          <w:rFonts w:asciiTheme="minorHAnsi" w:eastAsiaTheme="minorHAnsi" w:hAnsiTheme="minorHAnsi" w:cs="Calibri"/>
          <w:b/>
          <w:bCs/>
          <w:lang w:eastAsia="en-US"/>
        </w:rPr>
      </w:pPr>
      <w:r>
        <w:rPr>
          <w:rFonts w:asciiTheme="minorHAnsi" w:eastAsiaTheme="minorHAnsi" w:hAnsiTheme="minorHAnsi" w:cs="Calibri"/>
          <w:b/>
          <w:bCs/>
          <w:u w:val="single"/>
          <w:lang w:eastAsia="en-US"/>
        </w:rPr>
        <w:t>L</w:t>
      </w:r>
      <w:r>
        <w:rPr>
          <w:rFonts w:asciiTheme="minorHAnsi" w:eastAsiaTheme="minorHAnsi" w:hAnsiTheme="minorHAnsi" w:cs="Calibri"/>
          <w:b/>
          <w:bCs/>
          <w:lang w:eastAsia="en-US"/>
        </w:rPr>
        <w:t>okal użytkowy</w:t>
      </w:r>
      <w:r w:rsidRPr="00CF1990">
        <w:rPr>
          <w:rFonts w:asciiTheme="minorHAnsi" w:eastAsiaTheme="minorHAnsi" w:hAnsiTheme="minorHAnsi" w:cs="Calibri"/>
          <w:b/>
          <w:bCs/>
          <w:lang w:eastAsia="en-US"/>
        </w:rPr>
        <w:t xml:space="preserve"> w celu świadczenia usług cateringowych w ramach Inkubatora Technologicznego Kieleckiego Parku Technologicznego przy ul. Olszews</w:t>
      </w:r>
      <w:r w:rsidR="00D506FD">
        <w:rPr>
          <w:rFonts w:asciiTheme="minorHAnsi" w:eastAsiaTheme="minorHAnsi" w:hAnsiTheme="minorHAnsi" w:cs="Calibri"/>
          <w:b/>
          <w:bCs/>
          <w:lang w:eastAsia="en-US"/>
        </w:rPr>
        <w:t>kiego 6 o łącznej powierzchni 79,2</w:t>
      </w:r>
      <w:bookmarkStart w:id="0" w:name="_GoBack"/>
      <w:bookmarkEnd w:id="0"/>
      <w:r w:rsidRPr="00CF1990">
        <w:rPr>
          <w:rFonts w:asciiTheme="minorHAnsi" w:eastAsiaTheme="minorHAnsi" w:hAnsiTheme="minorHAnsi" w:cs="Calibri"/>
          <w:b/>
          <w:bCs/>
          <w:lang w:eastAsia="en-US"/>
        </w:rPr>
        <w:t>3 m²</w:t>
      </w:r>
      <w:r>
        <w:rPr>
          <w:rFonts w:asciiTheme="minorHAnsi" w:eastAsiaTheme="minorHAnsi" w:hAnsiTheme="minorHAnsi" w:cs="Calibri"/>
          <w:b/>
          <w:bCs/>
          <w:lang w:eastAsia="en-US"/>
        </w:rPr>
        <w:t xml:space="preserve"> tj.:</w:t>
      </w:r>
    </w:p>
    <w:p w:rsidR="00CF1990" w:rsidRDefault="00CF1990" w:rsidP="00CF1990">
      <w:pPr>
        <w:spacing w:line="256" w:lineRule="auto"/>
        <w:jc w:val="both"/>
        <w:rPr>
          <w:rFonts w:asciiTheme="minorHAnsi" w:eastAsiaTheme="minorHAnsi" w:hAnsiTheme="minorHAnsi" w:cs="Calibri"/>
          <w:b/>
          <w:bCs/>
          <w:lang w:eastAsia="en-US"/>
        </w:rPr>
      </w:pPr>
    </w:p>
    <w:p w:rsidR="00CF1990" w:rsidRPr="00CF1990" w:rsidRDefault="00CF1990" w:rsidP="00CF1990">
      <w:pPr>
        <w:pStyle w:val="Akapitzlist"/>
        <w:numPr>
          <w:ilvl w:val="0"/>
          <w:numId w:val="1"/>
        </w:numPr>
        <w:spacing w:line="256" w:lineRule="auto"/>
        <w:jc w:val="both"/>
        <w:rPr>
          <w:rFonts w:asciiTheme="minorHAnsi" w:eastAsiaTheme="minorHAnsi" w:hAnsiTheme="minorHAnsi" w:cs="Calibri"/>
          <w:bCs/>
          <w:lang w:eastAsia="en-US"/>
        </w:rPr>
      </w:pPr>
      <w:r w:rsidRPr="00CF1990">
        <w:rPr>
          <w:rFonts w:asciiTheme="minorHAnsi" w:eastAsiaTheme="minorHAnsi" w:hAnsiTheme="minorHAnsi" w:cs="Calibri"/>
          <w:bCs/>
          <w:lang w:eastAsia="en-US"/>
        </w:rPr>
        <w:t>Lokal umeblowany o numerze 0.24 o powierzchni użytkowej 33,96 m²  (kuchnia);</w:t>
      </w:r>
    </w:p>
    <w:p w:rsidR="00CF1990" w:rsidRPr="00CF1990" w:rsidRDefault="00CF1990" w:rsidP="00CF1990">
      <w:pPr>
        <w:pStyle w:val="Akapitzlist"/>
        <w:numPr>
          <w:ilvl w:val="0"/>
          <w:numId w:val="1"/>
        </w:numPr>
        <w:spacing w:line="256" w:lineRule="auto"/>
        <w:jc w:val="both"/>
        <w:rPr>
          <w:rFonts w:asciiTheme="minorHAnsi" w:eastAsiaTheme="minorHAnsi" w:hAnsiTheme="minorHAnsi" w:cs="Calibri"/>
          <w:bCs/>
          <w:lang w:eastAsia="en-US"/>
        </w:rPr>
      </w:pPr>
      <w:r w:rsidRPr="00CF1990">
        <w:rPr>
          <w:rFonts w:asciiTheme="minorHAnsi" w:eastAsiaTheme="minorHAnsi" w:hAnsiTheme="minorHAnsi" w:cs="Calibri"/>
          <w:bCs/>
          <w:lang w:eastAsia="en-US"/>
        </w:rPr>
        <w:t>Lokal umeblowany o numerze 0.25 o powierzchni użytkowej 33,25 m² (część użytkowa dla klientów);</w:t>
      </w:r>
    </w:p>
    <w:p w:rsidR="00741AE2" w:rsidRDefault="00CF1990" w:rsidP="00741AE2">
      <w:pPr>
        <w:pStyle w:val="Akapitzlist"/>
        <w:numPr>
          <w:ilvl w:val="0"/>
          <w:numId w:val="1"/>
        </w:numPr>
        <w:spacing w:line="256" w:lineRule="auto"/>
        <w:jc w:val="both"/>
        <w:rPr>
          <w:rFonts w:asciiTheme="minorHAnsi" w:eastAsiaTheme="minorHAnsi" w:hAnsiTheme="minorHAnsi" w:cs="Calibri"/>
          <w:bCs/>
          <w:lang w:eastAsia="en-US"/>
        </w:rPr>
      </w:pPr>
      <w:r w:rsidRPr="00CF1990">
        <w:rPr>
          <w:rFonts w:asciiTheme="minorHAnsi" w:eastAsiaTheme="minorHAnsi" w:hAnsiTheme="minorHAnsi" w:cs="Calibri"/>
          <w:bCs/>
          <w:lang w:eastAsia="en-US"/>
        </w:rPr>
        <w:t>Powierzchnia magazynowa oznaczona numerem -1,39 o powierzchni użytkowej 5,92 m²;</w:t>
      </w:r>
    </w:p>
    <w:p w:rsidR="00D506FD" w:rsidRPr="00741AE2" w:rsidRDefault="00D506FD" w:rsidP="00741AE2">
      <w:pPr>
        <w:pStyle w:val="Akapitzlist"/>
        <w:numPr>
          <w:ilvl w:val="0"/>
          <w:numId w:val="1"/>
        </w:numPr>
        <w:spacing w:line="256" w:lineRule="auto"/>
        <w:jc w:val="both"/>
        <w:rPr>
          <w:rFonts w:asciiTheme="minorHAnsi" w:eastAsiaTheme="minorHAnsi" w:hAnsiTheme="minorHAnsi" w:cs="Calibri"/>
          <w:bCs/>
          <w:lang w:eastAsia="en-US"/>
        </w:rPr>
      </w:pPr>
      <w:r>
        <w:rPr>
          <w:rFonts w:asciiTheme="minorHAnsi" w:eastAsiaTheme="minorHAnsi" w:hAnsiTheme="minorHAnsi" w:cs="Calibri"/>
          <w:bCs/>
          <w:lang w:eastAsia="en-US"/>
        </w:rPr>
        <w:t>Toaleta oznaczona numerem -1.16 o powierzchni użytkowej 6,10 m².</w:t>
      </w:r>
    </w:p>
    <w:p w:rsidR="00CF1990" w:rsidRDefault="00CF1990" w:rsidP="00844FA1">
      <w:pPr>
        <w:spacing w:after="160" w:line="259" w:lineRule="auto"/>
        <w:jc w:val="both"/>
        <w:rPr>
          <w:rFonts w:ascii="Calibri Light" w:eastAsia="Calibri" w:hAnsi="Calibri Light"/>
          <w:b/>
          <w:szCs w:val="24"/>
          <w:lang w:eastAsia="en-US"/>
        </w:rPr>
      </w:pPr>
    </w:p>
    <w:p w:rsidR="00844FA1" w:rsidRDefault="00844FA1" w:rsidP="00844FA1">
      <w:pPr>
        <w:spacing w:after="160" w:line="259" w:lineRule="auto"/>
        <w:jc w:val="both"/>
        <w:rPr>
          <w:rFonts w:ascii="Calibri Light" w:eastAsia="Calibri" w:hAnsi="Calibri Light"/>
          <w:szCs w:val="24"/>
          <w:lang w:eastAsia="en-US"/>
        </w:rPr>
      </w:pPr>
      <w:r>
        <w:rPr>
          <w:rFonts w:ascii="Calibri Light" w:eastAsia="Calibri" w:hAnsi="Calibri Light"/>
          <w:szCs w:val="24"/>
          <w:lang w:eastAsia="en-US"/>
        </w:rPr>
        <w:t>Charakterystyka: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844FA1" w:rsidTr="00080703"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both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Elektryczność</w:t>
            </w:r>
          </w:p>
        </w:tc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center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X</w:t>
            </w:r>
          </w:p>
        </w:tc>
      </w:tr>
      <w:tr w:rsidR="00844FA1" w:rsidTr="00080703"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both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Woda</w:t>
            </w:r>
          </w:p>
        </w:tc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center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X</w:t>
            </w:r>
          </w:p>
        </w:tc>
      </w:tr>
      <w:tr w:rsidR="00844FA1" w:rsidTr="00080703"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both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Ogrzewanie</w:t>
            </w:r>
          </w:p>
        </w:tc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center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X</w:t>
            </w:r>
          </w:p>
        </w:tc>
      </w:tr>
      <w:tr w:rsidR="00844FA1" w:rsidTr="00080703"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both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Kanalizacja</w:t>
            </w:r>
          </w:p>
        </w:tc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center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X</w:t>
            </w:r>
          </w:p>
        </w:tc>
      </w:tr>
      <w:tr w:rsidR="00844FA1" w:rsidTr="00080703"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both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Dojazd ciężarówek</w:t>
            </w:r>
          </w:p>
        </w:tc>
        <w:tc>
          <w:tcPr>
            <w:tcW w:w="4814" w:type="dxa"/>
          </w:tcPr>
          <w:p w:rsidR="00844FA1" w:rsidRDefault="00844FA1" w:rsidP="00080703">
            <w:pPr>
              <w:spacing w:after="160" w:line="259" w:lineRule="auto"/>
              <w:jc w:val="center"/>
              <w:rPr>
                <w:rFonts w:ascii="Calibri Light" w:eastAsia="Calibri" w:hAnsi="Calibri Light"/>
                <w:szCs w:val="24"/>
                <w:lang w:eastAsia="en-US"/>
              </w:rPr>
            </w:pPr>
            <w:r>
              <w:rPr>
                <w:rFonts w:ascii="Calibri Light" w:eastAsia="Calibri" w:hAnsi="Calibri Light"/>
                <w:szCs w:val="24"/>
                <w:lang w:eastAsia="en-US"/>
              </w:rPr>
              <w:t>X</w:t>
            </w:r>
          </w:p>
        </w:tc>
      </w:tr>
    </w:tbl>
    <w:p w:rsidR="00844FA1" w:rsidRDefault="00844FA1" w:rsidP="00844FA1">
      <w:pPr>
        <w:spacing w:after="160" w:line="259" w:lineRule="auto"/>
        <w:jc w:val="both"/>
        <w:rPr>
          <w:rFonts w:ascii="Calibri Light" w:eastAsia="Calibri" w:hAnsi="Calibri Light"/>
          <w:szCs w:val="24"/>
          <w:lang w:eastAsia="en-US"/>
        </w:rPr>
      </w:pPr>
    </w:p>
    <w:p w:rsidR="00741AE2" w:rsidRDefault="00741AE2" w:rsidP="00844FA1">
      <w:pPr>
        <w:spacing w:after="160" w:line="259" w:lineRule="auto"/>
        <w:jc w:val="both"/>
        <w:rPr>
          <w:rFonts w:ascii="Calibri Light" w:eastAsia="Calibri" w:hAnsi="Calibri Light"/>
          <w:szCs w:val="24"/>
          <w:lang w:eastAsia="en-US"/>
        </w:rPr>
      </w:pPr>
      <w:r>
        <w:rPr>
          <w:rFonts w:ascii="Calibri Light" w:eastAsia="Calibri" w:hAnsi="Calibri Light"/>
          <w:szCs w:val="24"/>
          <w:lang w:eastAsia="en-US"/>
        </w:rPr>
        <w:t>Elementami wyposażenia są m.in.: kuchenka gazowa, blat stalowy, zlew, bateria, witryna chłodnicza, zmywarka, okap, bemar, lodó</w:t>
      </w:r>
      <w:r w:rsidR="00A87BB2">
        <w:rPr>
          <w:rFonts w:ascii="Calibri Light" w:eastAsia="Calibri" w:hAnsi="Calibri Light"/>
          <w:szCs w:val="24"/>
          <w:lang w:eastAsia="en-US"/>
        </w:rPr>
        <w:t>wka, stoli</w:t>
      </w:r>
      <w:r>
        <w:rPr>
          <w:rFonts w:ascii="Calibri Light" w:eastAsia="Calibri" w:hAnsi="Calibri Light"/>
          <w:szCs w:val="24"/>
          <w:lang w:eastAsia="en-US"/>
        </w:rPr>
        <w:t xml:space="preserve">ki obiadowe, krzesła. </w:t>
      </w:r>
    </w:p>
    <w:p w:rsidR="00844FA1" w:rsidRDefault="00844FA1" w:rsidP="00844FA1">
      <w:pPr>
        <w:spacing w:after="160" w:line="259" w:lineRule="auto"/>
        <w:jc w:val="both"/>
        <w:rPr>
          <w:rFonts w:ascii="Calibri Light" w:eastAsia="Calibri" w:hAnsi="Calibri Light"/>
          <w:szCs w:val="24"/>
          <w:lang w:eastAsia="en-US"/>
        </w:rPr>
      </w:pPr>
      <w:r>
        <w:rPr>
          <w:rFonts w:ascii="Calibri Light" w:eastAsia="Calibri" w:hAnsi="Calibri Light"/>
          <w:szCs w:val="24"/>
          <w:lang w:eastAsia="en-US"/>
        </w:rPr>
        <w:t xml:space="preserve">Istnieje możliwość wizji lokalnej </w:t>
      </w:r>
      <w:r w:rsidR="00741AE2">
        <w:rPr>
          <w:rFonts w:ascii="Calibri Light" w:eastAsia="Calibri" w:hAnsi="Calibri Light"/>
          <w:szCs w:val="24"/>
          <w:lang w:eastAsia="en-US"/>
        </w:rPr>
        <w:t>po uprzednim umówieniu z Panią Katarzyną Paździerz</w:t>
      </w:r>
      <w:r w:rsidR="00CF1990">
        <w:rPr>
          <w:rFonts w:ascii="Calibri Light" w:eastAsia="Calibri" w:hAnsi="Calibri Light"/>
          <w:szCs w:val="24"/>
          <w:lang w:eastAsia="en-US"/>
        </w:rPr>
        <w:t>, tel.: 41 278 72 46</w:t>
      </w:r>
      <w:r>
        <w:rPr>
          <w:rFonts w:ascii="Calibri Light" w:eastAsia="Calibri" w:hAnsi="Calibri Light"/>
          <w:szCs w:val="24"/>
          <w:lang w:eastAsia="en-US"/>
        </w:rPr>
        <w:t xml:space="preserve">, e-mail: </w:t>
      </w:r>
      <w:hyperlink r:id="rId8" w:history="1">
        <w:r w:rsidR="008F2186" w:rsidRPr="00B50939">
          <w:rPr>
            <w:rStyle w:val="Hipercze"/>
            <w:rFonts w:ascii="Calibri Light" w:eastAsia="Calibri" w:hAnsi="Calibri Light"/>
            <w:szCs w:val="24"/>
            <w:lang w:eastAsia="en-US"/>
          </w:rPr>
          <w:t>katarzyna.paździerz@technopark.kielce.pl</w:t>
        </w:r>
      </w:hyperlink>
      <w:r w:rsidR="008F2186">
        <w:rPr>
          <w:rStyle w:val="Hipercze"/>
          <w:rFonts w:ascii="Calibri Light" w:eastAsia="Calibri" w:hAnsi="Calibri Light"/>
          <w:szCs w:val="24"/>
          <w:lang w:eastAsia="en-US"/>
        </w:rPr>
        <w:t xml:space="preserve"> </w:t>
      </w:r>
    </w:p>
    <w:p w:rsidR="00C54A3F" w:rsidRDefault="00C54A3F" w:rsidP="00011B4C"/>
    <w:p w:rsidR="00011B4C" w:rsidRDefault="00011B4C" w:rsidP="00011B4C"/>
    <w:p w:rsidR="00011B4C" w:rsidRDefault="00011B4C" w:rsidP="00011B4C"/>
    <w:p w:rsidR="00011B4C" w:rsidRPr="00011B4C" w:rsidRDefault="00011B4C" w:rsidP="00011B4C"/>
    <w:sectPr w:rsidR="00011B4C" w:rsidRPr="00011B4C" w:rsidSect="00C26FA6">
      <w:headerReference w:type="even" r:id="rId9"/>
      <w:headerReference w:type="default" r:id="rId10"/>
      <w:footerReference w:type="default" r:id="rId11"/>
      <w:headerReference w:type="first" r:id="rId12"/>
      <w:pgSz w:w="11906" w:h="16838"/>
      <w:pgMar w:top="2552" w:right="991" w:bottom="1985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C3C0D" w:rsidRDefault="009C3C0D" w:rsidP="00013907">
      <w:r>
        <w:separator/>
      </w:r>
    </w:p>
  </w:endnote>
  <w:endnote w:type="continuationSeparator" w:id="0">
    <w:p w:rsidR="009C3C0D" w:rsidRDefault="009C3C0D" w:rsidP="000139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buntu Light"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Pr="000169C3" w:rsidRDefault="00B419FB" w:rsidP="00B419FB">
    <w:pPr>
      <w:pStyle w:val="Stopka"/>
      <w:jc w:val="right"/>
    </w:pP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PAGE</w:instrText>
    </w:r>
    <w:r w:rsidRPr="000169C3">
      <w:rPr>
        <w:b/>
        <w:bCs/>
        <w:sz w:val="16"/>
        <w:szCs w:val="16"/>
      </w:rPr>
      <w:fldChar w:fldCharType="separate"/>
    </w:r>
    <w:r w:rsidR="00C26FA6">
      <w:rPr>
        <w:b/>
        <w:bCs/>
        <w:noProof/>
        <w:sz w:val="16"/>
        <w:szCs w:val="16"/>
      </w:rPr>
      <w:t>2</w:t>
    </w:r>
    <w:r w:rsidRPr="000169C3">
      <w:rPr>
        <w:b/>
        <w:bCs/>
        <w:sz w:val="16"/>
        <w:szCs w:val="16"/>
      </w:rPr>
      <w:fldChar w:fldCharType="end"/>
    </w:r>
    <w:r w:rsidRPr="000169C3">
      <w:rPr>
        <w:sz w:val="16"/>
        <w:szCs w:val="16"/>
      </w:rPr>
      <w:t xml:space="preserve"> / </w:t>
    </w: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NUMPAGES</w:instrText>
    </w:r>
    <w:r w:rsidRPr="000169C3">
      <w:rPr>
        <w:b/>
        <w:bCs/>
        <w:sz w:val="16"/>
        <w:szCs w:val="16"/>
      </w:rPr>
      <w:fldChar w:fldCharType="separate"/>
    </w:r>
    <w:r w:rsidR="00C26FA6">
      <w:rPr>
        <w:b/>
        <w:bCs/>
        <w:noProof/>
        <w:sz w:val="16"/>
        <w:szCs w:val="16"/>
      </w:rPr>
      <w:t>2</w:t>
    </w:r>
    <w:r w:rsidRPr="000169C3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C3C0D" w:rsidRDefault="009C3C0D" w:rsidP="00013907">
      <w:r>
        <w:separator/>
      </w:r>
    </w:p>
  </w:footnote>
  <w:footnote w:type="continuationSeparator" w:id="0">
    <w:p w:rsidR="009C3C0D" w:rsidRDefault="009C3C0D" w:rsidP="0001390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183F1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0" b="1270"/>
          <wp:wrapNone/>
          <wp:docPr id="34" name="Obraz 34" descr="papier_21_qr-0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papier_21_qr-0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17515" cy="7804785"/>
          <wp:effectExtent l="0" t="0" r="0" b="5715"/>
          <wp:wrapNone/>
          <wp:docPr id="23" name="Obraz 23" descr="papier_bfe-0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papier_bfe-06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7515" cy="7804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Pr="00D72742" w:rsidRDefault="00D506FD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324330" o:spid="_x0000_s2050" type="#_x0000_t75" alt="papier_21-04" style="position:absolute;margin-left:-57.45pt;margin-top:-128.6pt;width:595.2pt;height:841.9pt;z-index:-251653120;mso-wrap-edited:f;mso-width-percent:0;mso-height-percent:0;mso-position-horizontal-relative:margin;mso-position-vertical-relative:margin;mso-width-percent:0;mso-height-percent:0" o:allowincell="f">
          <v:imagedata r:id="rId1" o:title="papier_21-04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D506FD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49" type="#_x0000_t75" alt="papier_21_qr-03" style="position:absolute;margin-left:-42.45pt;margin-top:-129.05pt;width:595.2pt;height:841.9pt;z-index:-251656192;mso-wrap-edited:f;mso-width-percent:0;mso-height-percent:0;mso-position-horizontal-relative:margin;mso-position-vertical-relative:margin;mso-width-percent:0;mso-height-percent:0" o:allowincell="f">
          <v:imagedata r:id="rId1" o:title="papier_21_qr-0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606694"/>
    <w:multiLevelType w:val="hybridMultilevel"/>
    <w:tmpl w:val="E0AA87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FA1"/>
    <w:rsid w:val="00011B4C"/>
    <w:rsid w:val="00013907"/>
    <w:rsid w:val="000169C3"/>
    <w:rsid w:val="00080CDE"/>
    <w:rsid w:val="00083FF5"/>
    <w:rsid w:val="000A699F"/>
    <w:rsid w:val="000D0BB0"/>
    <w:rsid w:val="000D1E01"/>
    <w:rsid w:val="001470D6"/>
    <w:rsid w:val="00183F17"/>
    <w:rsid w:val="001872B4"/>
    <w:rsid w:val="001F5009"/>
    <w:rsid w:val="00295A36"/>
    <w:rsid w:val="002A3146"/>
    <w:rsid w:val="002D1E7C"/>
    <w:rsid w:val="002F7C45"/>
    <w:rsid w:val="003B0534"/>
    <w:rsid w:val="003F13E6"/>
    <w:rsid w:val="0041760F"/>
    <w:rsid w:val="00530311"/>
    <w:rsid w:val="0054724D"/>
    <w:rsid w:val="005E6617"/>
    <w:rsid w:val="006104DC"/>
    <w:rsid w:val="0061396A"/>
    <w:rsid w:val="006A37F9"/>
    <w:rsid w:val="006D6F20"/>
    <w:rsid w:val="00712D4F"/>
    <w:rsid w:val="00741AE2"/>
    <w:rsid w:val="00783394"/>
    <w:rsid w:val="007919B7"/>
    <w:rsid w:val="00844FA1"/>
    <w:rsid w:val="00851374"/>
    <w:rsid w:val="0088010F"/>
    <w:rsid w:val="008F2186"/>
    <w:rsid w:val="008F3A77"/>
    <w:rsid w:val="00964B25"/>
    <w:rsid w:val="009A3B76"/>
    <w:rsid w:val="009B4157"/>
    <w:rsid w:val="009C3C0D"/>
    <w:rsid w:val="009C6BC5"/>
    <w:rsid w:val="00A87BB2"/>
    <w:rsid w:val="00AC1B5D"/>
    <w:rsid w:val="00AC6384"/>
    <w:rsid w:val="00B13E06"/>
    <w:rsid w:val="00B2220F"/>
    <w:rsid w:val="00B419FB"/>
    <w:rsid w:val="00B51346"/>
    <w:rsid w:val="00BA1DE0"/>
    <w:rsid w:val="00BB32C2"/>
    <w:rsid w:val="00BC5E7B"/>
    <w:rsid w:val="00BE6C50"/>
    <w:rsid w:val="00C26FA6"/>
    <w:rsid w:val="00C54A3F"/>
    <w:rsid w:val="00C67771"/>
    <w:rsid w:val="00C70C21"/>
    <w:rsid w:val="00CF1990"/>
    <w:rsid w:val="00D02D19"/>
    <w:rsid w:val="00D41BD2"/>
    <w:rsid w:val="00D506FD"/>
    <w:rsid w:val="00D72742"/>
    <w:rsid w:val="00D94917"/>
    <w:rsid w:val="00E24886"/>
    <w:rsid w:val="00EB622D"/>
    <w:rsid w:val="00EB6A60"/>
    <w:rsid w:val="00F65734"/>
    <w:rsid w:val="00F841D4"/>
    <w:rsid w:val="00FA4FFE"/>
    <w:rsid w:val="00FC7C7B"/>
    <w:rsid w:val="00FD4A9E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B5C22E74-3C27-864C-999F-4C05C66A2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4FA1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844F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F199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74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atarzyna.pa&#378;dzierz@technopark.kielce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7FC358-2BD4-4F8D-8735-3245008963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199</Words>
  <Characters>1195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Karolina Grochowina</cp:lastModifiedBy>
  <cp:revision>6</cp:revision>
  <cp:lastPrinted>2017-12-18T13:05:00Z</cp:lastPrinted>
  <dcterms:created xsi:type="dcterms:W3CDTF">2024-02-21T09:49:00Z</dcterms:created>
  <dcterms:modified xsi:type="dcterms:W3CDTF">2024-02-28T10:45:00Z</dcterms:modified>
</cp:coreProperties>
</file>