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AB" w:rsidRPr="008E2191" w:rsidRDefault="00851D6D" w:rsidP="00D0420F">
      <w:pPr>
        <w:rPr>
          <w:rFonts w:eastAsia="Calibri" w:cs="Calibri"/>
          <w:b/>
        </w:rPr>
      </w:pPr>
      <w:r w:rsidRPr="008E2191">
        <w:rPr>
          <w:rFonts w:eastAsia="Calibri" w:cs="Tahoma"/>
          <w:b/>
          <w:bCs/>
        </w:rPr>
        <w:t>KPT-DPiRI.270.</w:t>
      </w:r>
      <w:r w:rsidR="000148AB" w:rsidRPr="008E2191">
        <w:rPr>
          <w:rFonts w:eastAsia="Calibri" w:cs="Tahoma"/>
          <w:b/>
          <w:bCs/>
        </w:rPr>
        <w:t>1</w:t>
      </w:r>
      <w:r w:rsidRPr="008E2191">
        <w:rPr>
          <w:rFonts w:eastAsia="Calibri" w:cs="Tahoma"/>
          <w:b/>
          <w:bCs/>
        </w:rPr>
        <w:t>.201</w:t>
      </w:r>
      <w:r w:rsidR="000148AB" w:rsidRPr="008E2191">
        <w:rPr>
          <w:rFonts w:eastAsia="Calibri" w:cs="Tahoma"/>
          <w:b/>
          <w:bCs/>
        </w:rPr>
        <w:t>8</w:t>
      </w:r>
      <w:r w:rsidR="000148AB" w:rsidRPr="008E2191">
        <w:rPr>
          <w:rFonts w:eastAsia="Calibri" w:cs="Tahoma"/>
          <w:b/>
          <w:bCs/>
        </w:rPr>
        <w:tab/>
      </w:r>
      <w:r w:rsidR="000148AB" w:rsidRPr="008E2191">
        <w:rPr>
          <w:rFonts w:eastAsia="Calibri" w:cs="Tahoma"/>
          <w:b/>
          <w:bCs/>
        </w:rPr>
        <w:tab/>
      </w:r>
      <w:r w:rsidR="000148AB" w:rsidRPr="008E2191">
        <w:rPr>
          <w:rFonts w:eastAsia="Calibri" w:cs="Tahoma"/>
          <w:b/>
          <w:bCs/>
        </w:rPr>
        <w:tab/>
      </w:r>
      <w:r w:rsidR="000148AB" w:rsidRPr="008E2191">
        <w:rPr>
          <w:rFonts w:eastAsia="Calibri" w:cs="Tahoma"/>
          <w:b/>
          <w:bCs/>
        </w:rPr>
        <w:tab/>
      </w:r>
      <w:r w:rsidR="000148AB" w:rsidRPr="008E2191">
        <w:rPr>
          <w:rFonts w:eastAsia="Calibri" w:cs="Tahoma"/>
          <w:b/>
          <w:bCs/>
        </w:rPr>
        <w:tab/>
      </w:r>
      <w:r w:rsidR="000148AB" w:rsidRPr="008E2191">
        <w:rPr>
          <w:rFonts w:eastAsia="Calibri" w:cs="Tahoma"/>
          <w:b/>
          <w:bCs/>
        </w:rPr>
        <w:tab/>
      </w:r>
      <w:r w:rsidR="0021787E" w:rsidRPr="008E2191">
        <w:rPr>
          <w:rFonts w:eastAsia="Calibri" w:cs="Tahoma"/>
          <w:b/>
          <w:bCs/>
        </w:rPr>
        <w:tab/>
      </w:r>
      <w:r w:rsidR="0021787E" w:rsidRPr="008E2191">
        <w:rPr>
          <w:rFonts w:eastAsia="Calibri" w:cs="Tahoma"/>
          <w:b/>
          <w:bCs/>
        </w:rPr>
        <w:tab/>
      </w:r>
      <w:r w:rsidR="0066075A" w:rsidRPr="008E2191">
        <w:rPr>
          <w:rFonts w:eastAsia="Calibri" w:cs="Tahoma"/>
          <w:b/>
          <w:bCs/>
        </w:rPr>
        <w:t xml:space="preserve">       </w:t>
      </w:r>
      <w:r w:rsidR="00D0420F" w:rsidRPr="008E2191">
        <w:rPr>
          <w:rFonts w:eastAsia="Calibri" w:cs="Calibri"/>
          <w:b/>
        </w:rPr>
        <w:t>Zał</w:t>
      </w:r>
      <w:r w:rsidR="0066075A" w:rsidRPr="008E2191">
        <w:rPr>
          <w:rFonts w:eastAsia="Calibri" w:cs="Calibri"/>
          <w:b/>
        </w:rPr>
        <w:t>ącznik</w:t>
      </w:r>
      <w:r w:rsidR="00D0420F" w:rsidRPr="008E2191">
        <w:rPr>
          <w:rFonts w:eastAsia="Calibri" w:cs="Calibri"/>
          <w:b/>
        </w:rPr>
        <w:t xml:space="preserve"> Nr 1 do SIWZ </w:t>
      </w:r>
    </w:p>
    <w:p w:rsidR="00D0420F" w:rsidRPr="008E2191" w:rsidRDefault="00D0420F" w:rsidP="000148AB">
      <w:pPr>
        <w:jc w:val="center"/>
        <w:rPr>
          <w:rFonts w:ascii="Calibri" w:eastAsia="Calibri" w:hAnsi="Calibri" w:cs="Calibri"/>
          <w:b/>
          <w:sz w:val="24"/>
          <w:szCs w:val="24"/>
        </w:rPr>
      </w:pPr>
      <w:r w:rsidRPr="008E2191">
        <w:rPr>
          <w:rFonts w:ascii="Calibri" w:eastAsia="Calibri" w:hAnsi="Calibri" w:cs="Calibri"/>
          <w:b/>
          <w:sz w:val="24"/>
          <w:szCs w:val="24"/>
        </w:rPr>
        <w:t>Opis przedmiotu zamówienia</w:t>
      </w:r>
    </w:p>
    <w:p w:rsidR="00D0420F" w:rsidRPr="008E2191" w:rsidRDefault="00D0420F" w:rsidP="00D0420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</w:rPr>
      </w:pPr>
      <w:r w:rsidRPr="008E2191">
        <w:rPr>
          <w:rFonts w:ascii="Calibri" w:eastAsia="Calibri" w:hAnsi="Calibri" w:cs="Calibri"/>
          <w:b/>
        </w:rPr>
        <w:t>Opis ogólny przedmiotu zamówienia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 xml:space="preserve">Przedmiotem opracowania jest projekt budowlano-wykonawczy Inkubatora – California INC, zlokalizowanego w Kielcach przy ul. Olszewskiego dz. nr </w:t>
      </w:r>
      <w:proofErr w:type="spellStart"/>
      <w:r w:rsidRPr="008E2191">
        <w:rPr>
          <w:rFonts w:ascii="Calibri" w:eastAsia="Calibri" w:hAnsi="Calibri" w:cs="Calibri"/>
        </w:rPr>
        <w:t>ewid</w:t>
      </w:r>
      <w:proofErr w:type="spellEnd"/>
      <w:r w:rsidRPr="008E2191">
        <w:rPr>
          <w:rFonts w:ascii="Calibri" w:eastAsia="Calibri" w:hAnsi="Calibri" w:cs="Calibri"/>
        </w:rPr>
        <w:t>. 5/67, 5/72. 5/70 obręb ewidencyjny 0005, jednostka ewidencyjna – Kielce.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Zamawiający dopuszcza wprowadzenia zmian w stosunku do opisanych niżej elementów na swój wniosek lub na wnios</w:t>
      </w:r>
      <w:r w:rsidR="000A4F0D" w:rsidRPr="008E2191">
        <w:rPr>
          <w:rFonts w:ascii="Calibri" w:eastAsia="Calibri" w:hAnsi="Calibri" w:cs="Calibri"/>
        </w:rPr>
        <w:t>ek Projektanta za wiedzą i zgodą</w:t>
      </w:r>
      <w:r w:rsidRPr="008E2191">
        <w:rPr>
          <w:rFonts w:ascii="Calibri" w:eastAsia="Calibri" w:hAnsi="Calibri" w:cs="Calibri"/>
        </w:rPr>
        <w:t xml:space="preserve"> Zamawiającego.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8E2191">
        <w:rPr>
          <w:rFonts w:ascii="Calibri" w:eastAsia="Calibri" w:hAnsi="Calibri" w:cs="Calibri"/>
          <w:b/>
        </w:rPr>
        <w:t>2. Dane dotyczące terenu: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nr ewidencyjne działek – 5/67, 5/72, 5/70</w:t>
      </w:r>
      <w:r w:rsidR="000A4F0D" w:rsidRPr="008E2191">
        <w:rPr>
          <w:rFonts w:ascii="Calibri" w:eastAsia="Calibri" w:hAnsi="Calibri" w:cs="Calibri"/>
        </w:rPr>
        <w:t xml:space="preserve"> – numeracja działek może ulec zmianie z uwagi na trwające prace geodezyjne. Po uzyskaniu decyzji podziałowych Zamawiający udostępni je Wykonawcy;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łączna powierzchnia działek – 9133,48 m2</w:t>
      </w:r>
      <w:r w:rsidR="000A4F0D" w:rsidRPr="008E2191">
        <w:rPr>
          <w:rFonts w:ascii="Calibri" w:eastAsia="Calibri" w:hAnsi="Calibri" w:cs="Calibri"/>
        </w:rPr>
        <w:t>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 xml:space="preserve">Dokładne powierzchnie działek należy zweryfikować zgodnie z danymi z ewidencji gruntów </w:t>
      </w:r>
      <w:r w:rsidR="000148AB" w:rsidRPr="008E2191">
        <w:rPr>
          <w:rFonts w:ascii="Calibri" w:eastAsia="Calibri" w:hAnsi="Calibri" w:cs="Calibri"/>
        </w:rPr>
        <w:br/>
      </w:r>
      <w:r w:rsidRPr="008E2191">
        <w:rPr>
          <w:rFonts w:ascii="Calibri" w:eastAsia="Calibri" w:hAnsi="Calibri" w:cs="Calibri"/>
        </w:rPr>
        <w:t>i użytków dla m. Kielce.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 xml:space="preserve">Teren obecnie porośnięty jest zielenią wysoką i niską. Dostęp do działek umożliwi projektowany zjazd </w:t>
      </w:r>
      <w:r w:rsidR="000148AB" w:rsidRPr="008E2191">
        <w:rPr>
          <w:rFonts w:ascii="Calibri" w:eastAsia="Calibri" w:hAnsi="Calibri" w:cs="Calibri"/>
        </w:rPr>
        <w:br/>
      </w:r>
      <w:r w:rsidRPr="008E2191">
        <w:rPr>
          <w:rFonts w:ascii="Calibri" w:eastAsia="Calibri" w:hAnsi="Calibri" w:cs="Calibri"/>
        </w:rPr>
        <w:t>z wykonywanej drogi w Strefie C. Teren inwestycji zlokalizowany jest w bezpośrednim sąsiedztwie istniejącej infrastruktury Kieleckiego Parku Technologicznego.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</w:rPr>
      </w:pPr>
      <w:r w:rsidRPr="008E2191">
        <w:rPr>
          <w:rFonts w:ascii="Calibri" w:eastAsia="Calibri" w:hAnsi="Calibri" w:cs="Calibri"/>
          <w:b/>
        </w:rPr>
        <w:t>3. Planowane funkcje obiektu: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biurowa;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audytorium;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konferencyjna;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restauracyjna i kawiarniana wraz z zapleczami;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magazynowa, techniczna, porządkowa, pomocnicza;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socjalno – rekreacyjna;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sportowa i rehabilitacyjna;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 xml:space="preserve">- przestrzeń </w:t>
      </w:r>
      <w:proofErr w:type="spellStart"/>
      <w:r w:rsidRPr="008E2191">
        <w:rPr>
          <w:rFonts w:ascii="Calibri" w:eastAsia="Calibri" w:hAnsi="Calibri" w:cs="Calibri"/>
        </w:rPr>
        <w:t>sanitarialna</w:t>
      </w:r>
      <w:proofErr w:type="spellEnd"/>
      <w:r w:rsidRPr="008E2191">
        <w:rPr>
          <w:rFonts w:ascii="Calibri" w:eastAsia="Calibri" w:hAnsi="Calibri" w:cs="Calibri"/>
        </w:rPr>
        <w:t>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parkingu podziemnego;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przestrzeń komunikacyjna;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Calibri"/>
        </w:rPr>
      </w:pPr>
      <w:r w:rsidRPr="008E2191">
        <w:rPr>
          <w:rFonts w:eastAsia="Calibri" w:cs="Calibri"/>
        </w:rPr>
        <w:t xml:space="preserve">Inwestycja przewiduje również zagospodarowanie atrium budynku w formie przestrzeni </w:t>
      </w:r>
      <w:proofErr w:type="spellStart"/>
      <w:r w:rsidRPr="008E2191">
        <w:rPr>
          <w:rFonts w:eastAsia="Calibri" w:cs="Calibri"/>
        </w:rPr>
        <w:t>społeczno</w:t>
      </w:r>
      <w:proofErr w:type="spellEnd"/>
      <w:r w:rsidRPr="008E2191">
        <w:rPr>
          <w:rFonts w:eastAsia="Calibri" w:cs="Calibri"/>
        </w:rPr>
        <w:t xml:space="preserve"> </w:t>
      </w:r>
      <w:r w:rsidR="000148AB" w:rsidRPr="008E2191">
        <w:rPr>
          <w:rFonts w:eastAsia="Calibri" w:cs="Calibri"/>
        </w:rPr>
        <w:br/>
      </w:r>
      <w:r w:rsidR="007B2DC8" w:rsidRPr="008E2191">
        <w:rPr>
          <w:rFonts w:eastAsia="Calibri" w:cs="Calibri"/>
        </w:rPr>
        <w:t>–</w:t>
      </w:r>
      <w:r w:rsidRPr="008E2191">
        <w:rPr>
          <w:rFonts w:eastAsia="Calibri" w:cs="Calibri"/>
        </w:rPr>
        <w:t xml:space="preserve"> rekreacyjnej</w:t>
      </w:r>
      <w:r w:rsidR="007B2DC8" w:rsidRPr="008E2191">
        <w:rPr>
          <w:rFonts w:eastAsia="Calibri" w:cs="Calibri"/>
        </w:rPr>
        <w:t xml:space="preserve">, </w:t>
      </w:r>
      <w:r w:rsidR="007B2DC8" w:rsidRPr="008E2191">
        <w:rPr>
          <w:rFonts w:cs="Arial"/>
        </w:rPr>
        <w:t>aranżację i wyposażenie wystroju wnętrz 50 % projektowanej powierzchni</w:t>
      </w:r>
      <w:r w:rsidR="007B2DC8" w:rsidRPr="008E2191">
        <w:rPr>
          <w:rFonts w:eastAsia="Calibri" w:cs="Calibri"/>
        </w:rPr>
        <w:t xml:space="preserve"> oraz </w:t>
      </w:r>
      <w:r w:rsidRPr="008E2191">
        <w:rPr>
          <w:rFonts w:eastAsia="Calibri" w:cs="Calibri"/>
        </w:rPr>
        <w:t>powstanie miejsc parkingowych zlokalizowanych na działce.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</w:rPr>
      </w:pPr>
      <w:r w:rsidRPr="008E2191">
        <w:rPr>
          <w:rFonts w:ascii="Calibri" w:eastAsia="Calibri" w:hAnsi="Calibri" w:cs="Calibri"/>
          <w:b/>
        </w:rPr>
        <w:t>4. Zagospodarowanie terenu: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Dojazd do projektowanego obiektu ma być zapewniony pop</w:t>
      </w:r>
      <w:bookmarkStart w:id="0" w:name="_GoBack"/>
      <w:bookmarkEnd w:id="0"/>
      <w:r w:rsidRPr="008E2191">
        <w:rPr>
          <w:rFonts w:ascii="Calibri" w:eastAsia="Calibri" w:hAnsi="Calibri" w:cs="Calibri"/>
        </w:rPr>
        <w:t xml:space="preserve">rzez projektowany zjazd z wykonywanej drogi </w:t>
      </w:r>
      <w:r w:rsidR="000148AB" w:rsidRPr="008E2191">
        <w:rPr>
          <w:rFonts w:ascii="Calibri" w:eastAsia="Calibri" w:hAnsi="Calibri" w:cs="Calibri"/>
        </w:rPr>
        <w:br/>
      </w:r>
      <w:r w:rsidRPr="008E2191">
        <w:rPr>
          <w:rFonts w:ascii="Calibri" w:eastAsia="Calibri" w:hAnsi="Calibri" w:cs="Calibri"/>
        </w:rPr>
        <w:t xml:space="preserve">w Strefie </w:t>
      </w:r>
      <w:proofErr w:type="spellStart"/>
      <w:r w:rsidRPr="008E2191">
        <w:rPr>
          <w:rFonts w:ascii="Calibri" w:eastAsia="Calibri" w:hAnsi="Calibri" w:cs="Calibri"/>
        </w:rPr>
        <w:t>C.Obsługa</w:t>
      </w:r>
      <w:proofErr w:type="spellEnd"/>
      <w:r w:rsidRPr="008E2191">
        <w:rPr>
          <w:rFonts w:ascii="Calibri" w:eastAsia="Calibri" w:hAnsi="Calibri" w:cs="Calibri"/>
        </w:rPr>
        <w:t xml:space="preserve"> komunikacyjna obiektu jest zapewniona poprzez zaprojektowanie dróg wewnętrznych, które zapewnią dostęp do miejsc parkingowych. Ciągi piesze przewidywane są wzdłuż zewnętrznej elewacji projektowanego obiektu, jak również w projektowanym atrium, w postaci chodników. Zapewniają one tym samym dojście do wyjść ewakuacyjnych, dostawczych i pomocniczych budynku. Drogi wewnętrzne lub projektowane place mają zapewniać również ochron przeciwpożarową obiektu. Miejsca postojowe zlokalizowane są wzdłuż dróg wewnętrznych. Z uwagi na wielkość budynku przewidzieć maksymalną ilość </w:t>
      </w:r>
      <w:r w:rsidRPr="008E2191">
        <w:rPr>
          <w:rFonts w:ascii="Calibri" w:eastAsia="Calibri" w:hAnsi="Calibri" w:cs="Calibri"/>
        </w:rPr>
        <w:lastRenderedPageBreak/>
        <w:t xml:space="preserve">miejsc postojowych na zewnątrz obiektu, wymiary miejsc postojowych zgodnie z obowiązującymi przepisami. Przewidzieć miejsca postojowe dla niepełnosprawnych.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Dla planowanej inwestycji założono budowę parkingu podziemnego zawierającego około 104 miejsca postojowe, w tym miejsca przystosowane dla osób niepełnosprawnych.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Elementy małej architektury znajdujące się na projektowanym terenie (w tym atrium):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siedziska;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pergole z funkcja siedziska;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huśtawki;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hamaki;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kosze na śmieci;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stojaki na rowery;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oświetlenie.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  <w:r w:rsidRPr="008E2191">
        <w:rPr>
          <w:rFonts w:ascii="Calibri" w:eastAsia="Arial Unicode MS" w:hAnsi="Calibri" w:cs="Tahoma"/>
          <w:bCs/>
          <w:lang w:eastAsia="pl-PL"/>
        </w:rPr>
        <w:t>Należy zaprojektować drogi, parkingi, place postojowe, miejsce (wiata) na odpady stałe</w:t>
      </w:r>
      <w:r w:rsidR="00500951" w:rsidRPr="008E2191">
        <w:rPr>
          <w:rFonts w:ascii="Calibri" w:eastAsia="Arial Unicode MS" w:hAnsi="Calibri" w:cs="Tahoma"/>
          <w:bCs/>
          <w:lang w:eastAsia="pl-PL"/>
        </w:rPr>
        <w:t>, palarnia</w:t>
      </w:r>
      <w:r w:rsidR="000148AB" w:rsidRPr="008E2191">
        <w:rPr>
          <w:rFonts w:ascii="Calibri" w:eastAsia="Arial Unicode MS" w:hAnsi="Calibri" w:cs="Tahoma"/>
          <w:bCs/>
          <w:lang w:eastAsia="pl-PL"/>
        </w:rPr>
        <w:t>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  <w:r w:rsidRPr="008E2191">
        <w:rPr>
          <w:rFonts w:ascii="Calibri" w:eastAsia="Arial Unicode MS" w:hAnsi="Calibri" w:cs="Tahoma"/>
          <w:bCs/>
          <w:lang w:eastAsia="pl-PL"/>
        </w:rPr>
        <w:t xml:space="preserve">Należy wykonać projekt nasadzeń zieleni niskiej ozdobnej i trawnika.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  <w:r w:rsidRPr="008E2191">
        <w:rPr>
          <w:rFonts w:ascii="Calibri" w:eastAsia="Arial Unicode MS" w:hAnsi="Calibri" w:cs="Tahoma"/>
          <w:bCs/>
          <w:lang w:eastAsia="pl-PL"/>
        </w:rPr>
        <w:t xml:space="preserve">Mała architektura: ustawienie urządzeń typu ławki, stojaki na rowery, kosze na śmieci ze stali nierdzewnej w formie nawiązującej do nowoczesnej architektury budynku.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Zagospodarowanie terenu w media: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- sieć wodociągowa,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- sieć kanalizacji sanitarnej,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- sieć kanalizacji deszczowej, 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- sieć ciepłownicza,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- sieć energetyczna,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- sieć teletechniczna.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bCs/>
          <w:lang w:eastAsia="pl-PL"/>
        </w:rPr>
      </w:pPr>
      <w:r w:rsidRPr="008E2191">
        <w:rPr>
          <w:rFonts w:ascii="Calibri" w:eastAsia="Arial Unicode MS" w:hAnsi="Calibri" w:cs="Calibri"/>
          <w:b/>
          <w:bCs/>
          <w:lang w:eastAsia="pl-PL"/>
        </w:rPr>
        <w:t>5. Obiekt kubaturowy wyposażony zostanie w szczególności w następujące instalacje: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centralnego ogrzewania z źródłem ciepła z kogeneracji poprzez wymiennik z sieci EC,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kanalizacji sanitarnej,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kanalizacji deszczowej,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wody zimnej oraz ciepłej (z wymiennikowni wspomaganej instalacja solarną),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wentylacji grawitacyjnej i mechanicznej z odzyskiem ciepła,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klimatyzacji 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993" w:hanging="709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instalacji elektrycznych, w tym instalacji oświetleniowych opartych o nowoczesne źródła LED </w:t>
      </w:r>
      <w:r w:rsidR="00EE069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z możliwością załączania w strefach wspólnych przy pomocy czujek ruchu, oświetlenie</w:t>
      </w:r>
      <w:r w:rsidR="00EE069B" w:rsidRPr="008E2191">
        <w:rPr>
          <w:rFonts w:ascii="Calibri" w:eastAsia="Arial Unicode MS" w:hAnsi="Calibri" w:cs="Calibri"/>
          <w:bCs/>
          <w:lang w:eastAsia="pl-PL"/>
        </w:rPr>
        <w:t xml:space="preserve"> </w:t>
      </w:r>
      <w:r w:rsidRPr="008E2191">
        <w:rPr>
          <w:rFonts w:ascii="Calibri" w:eastAsia="Arial Unicode MS" w:hAnsi="Calibri" w:cs="Calibri"/>
          <w:bCs/>
          <w:lang w:eastAsia="pl-PL"/>
        </w:rPr>
        <w:t xml:space="preserve">zewnętrzne załączane czujnikami zmierzchowymi, 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instalacji fotowoltaicznej, 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instalacji odgromowej, 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instalacji teleinformatycznych, 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instalacji dozorowej, alarmowej  i monitoringu,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system komunikacji wizualnej,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lastRenderedPageBreak/>
        <w:t>instalacja iluminacji świątecznej,</w:t>
      </w:r>
    </w:p>
    <w:p w:rsidR="00D0420F" w:rsidRPr="008E2191" w:rsidRDefault="00D0420F" w:rsidP="00D0420F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993" w:hanging="709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innych wspomagających działanie obiektu w zakresie przyjętego standardu i funkcji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 xml:space="preserve">(np. rozbudowa systemu BMS w oparciu o istniejący system w budynku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Skye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Inc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>, DSO, CCTV itp.).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Szczegółowy standard wyposażenia instalacyjnego do ustalenia z Inwestorem na etapie prac projektowych.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/>
          <w:bCs/>
          <w:lang w:eastAsia="pl-PL"/>
        </w:rPr>
      </w:pPr>
      <w:r w:rsidRPr="008E2191">
        <w:rPr>
          <w:rFonts w:ascii="Calibri" w:eastAsia="Arial Unicode MS" w:hAnsi="Calibri" w:cs="Tahoma"/>
          <w:b/>
          <w:bCs/>
          <w:lang w:eastAsia="pl-PL"/>
        </w:rPr>
        <w:t>6. Parking podziemny: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  <w:r w:rsidRPr="008E2191">
        <w:rPr>
          <w:rFonts w:ascii="Calibri" w:eastAsia="Arial Unicode MS" w:hAnsi="Calibri" w:cs="Tahoma"/>
          <w:bCs/>
          <w:lang w:eastAsia="pl-PL"/>
        </w:rPr>
        <w:t>Na poziomie przyziemia wielostanowiskowy garaż podziemny - wentylowany. Dopuszcza</w:t>
      </w:r>
      <w:r w:rsidR="000148AB" w:rsidRPr="008E2191">
        <w:rPr>
          <w:rFonts w:ascii="Calibri" w:eastAsia="Arial Unicode MS" w:hAnsi="Calibri" w:cs="Tahoma"/>
          <w:bCs/>
          <w:lang w:eastAsia="pl-PL"/>
        </w:rPr>
        <w:t xml:space="preserve"> </w:t>
      </w:r>
      <w:r w:rsidRPr="008E2191">
        <w:rPr>
          <w:rFonts w:ascii="Calibri" w:eastAsia="Arial Unicode MS" w:hAnsi="Calibri" w:cs="Tahoma"/>
          <w:bCs/>
          <w:lang w:eastAsia="pl-PL"/>
        </w:rPr>
        <w:t>się zaprojektowanie garażu przewietrzanego spełniającego wszystkie wymogi formalno-prawne pod warunkiem nie gorszych rozwiązań funkcjonalno-użytkowych. Wjazd z terenu działek Inwestora. Konstrukcja pod parkingiem wytrzymała dla samochodów</w:t>
      </w:r>
      <w:r w:rsidR="00631DF3" w:rsidRPr="008E2191">
        <w:rPr>
          <w:rFonts w:ascii="Calibri" w:eastAsia="Arial Unicode MS" w:hAnsi="Calibri" w:cs="Tahoma"/>
          <w:bCs/>
          <w:lang w:eastAsia="pl-PL"/>
        </w:rPr>
        <w:t xml:space="preserve"> osobowych, dostawczych</w:t>
      </w:r>
      <w:r w:rsidRPr="008E2191">
        <w:rPr>
          <w:rFonts w:ascii="Calibri" w:eastAsia="Arial Unicode MS" w:hAnsi="Calibri" w:cs="Tahoma"/>
          <w:bCs/>
          <w:lang w:eastAsia="pl-PL"/>
        </w:rPr>
        <w:t>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  <w:r w:rsidRPr="008E2191">
        <w:rPr>
          <w:rFonts w:ascii="Calibri" w:eastAsia="Arial Unicode MS" w:hAnsi="Calibri" w:cs="Tahoma"/>
          <w:bCs/>
          <w:lang w:eastAsia="pl-PL"/>
        </w:rPr>
        <w:t xml:space="preserve">W konstrukcji płyty posadzki odwodnienia liniowe, woda odprowadzana do kanalizacji deszczowej, </w:t>
      </w:r>
      <w:r w:rsidR="000148AB" w:rsidRPr="008E2191">
        <w:rPr>
          <w:rFonts w:ascii="Calibri" w:eastAsia="Arial Unicode MS" w:hAnsi="Calibri" w:cs="Tahoma"/>
          <w:bCs/>
          <w:lang w:eastAsia="pl-PL"/>
        </w:rPr>
        <w:br/>
      </w:r>
      <w:r w:rsidRPr="008E2191">
        <w:rPr>
          <w:rFonts w:ascii="Calibri" w:eastAsia="Arial Unicode MS" w:hAnsi="Calibri" w:cs="Tahoma"/>
          <w:bCs/>
          <w:lang w:eastAsia="pl-PL"/>
        </w:rPr>
        <w:t xml:space="preserve">z wymaganym podczyszczeniem.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bCs/>
          <w:lang w:eastAsia="pl-PL"/>
        </w:rPr>
      </w:pPr>
      <w:r w:rsidRPr="008E2191">
        <w:rPr>
          <w:rFonts w:ascii="Calibri" w:eastAsia="Arial Unicode MS" w:hAnsi="Calibri" w:cs="Calibri"/>
          <w:b/>
          <w:bCs/>
          <w:lang w:eastAsia="pl-PL"/>
        </w:rPr>
        <w:t>7. Wejścia: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Projektowany obiekt posiada:</w:t>
      </w:r>
    </w:p>
    <w:p w:rsidR="00D0420F" w:rsidRPr="008E2191" w:rsidRDefault="00631DF3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 xml:space="preserve">- </w:t>
      </w:r>
      <w:r w:rsidR="00D0420F" w:rsidRPr="008E2191">
        <w:rPr>
          <w:rFonts w:ascii="Calibri" w:eastAsia="Calibri" w:hAnsi="Calibri" w:cs="Calibri"/>
        </w:rPr>
        <w:t>wejścia główne;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wyjścia ewakuacyjne;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- wejścia pomocnicze;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- wjazd do garażu podziemnego.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Wejścia główne do obiektu z windą. Wykończenie windy: szkło, lustra, aluminium, stal INOX.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Wiatrołap w konstrukcji aluminiowej szklonej, drzwi automatyczne rozsuwane i drzwi ewakuacyjne.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Wycieraczki w wiatrołapach, systemowe szczotkowane, z kanalikiem odwodnieniowym na zewnątrz, na całej podłodze wiatrołapu oraz w pasie 1.5m przed wejściem głównym.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Nad wejściem głównym i wzdłuż całej elewacji frontowej zadaszenie na konstrukcji stalowej systemowej, krytej szkłem bezpiecznym.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Nad wszystkimi wejściami daszki ze szkła bezpiecznego na odciągach stalowych zwieszanych </w:t>
      </w:r>
      <w:r w:rsidRPr="008E2191">
        <w:rPr>
          <w:rFonts w:ascii="Calibri" w:eastAsia="Arial Unicode MS" w:hAnsi="Calibri" w:cs="Calibri"/>
          <w:bCs/>
          <w:lang w:eastAsia="pl-PL"/>
        </w:rPr>
        <w:br/>
        <w:t xml:space="preserve">z elewacji. 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bCs/>
          <w:lang w:eastAsia="pl-PL"/>
        </w:rPr>
      </w:pPr>
      <w:r w:rsidRPr="008E2191">
        <w:rPr>
          <w:rFonts w:ascii="Calibri" w:eastAsia="Arial Unicode MS" w:hAnsi="Calibri" w:cs="Calibri"/>
          <w:b/>
          <w:bCs/>
          <w:lang w:eastAsia="pl-PL"/>
        </w:rPr>
        <w:t>8. Obiekt kubaturowy: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Elementy konstrukcyjne budynku: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Konstrukcja: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Zakłada się zaprojektowanie obiektów w technologii tradycyjnej, żelbetowej wylewanej,  murowanej. Ściany nośne żelbetowe, wspomagane układem słupów. Belki i stropy żelbetowe. Płyta nad ostatnią kondygnacją pełni rolę stropodachu.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Posadowienie wykonać poniżej głębokości przemarzania.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Dopuszcza się zmiany technologii wykonania za wiedzą i zgodą Zamawiającego.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Elewacja: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Zastosować szczelinę wentylacyjną pomiędzy warstwą termoizolacyjną a fasadą szklano – aluminiową.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Na elewacji zastosować szkło fotowoltaiczne oraz elementy aluminiowe.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lastRenderedPageBreak/>
        <w:t>Elewacja nowoczesna, zastosowane materiały oraz wygląd do uzgodnienia z Zamawiającym na etapie projektowania.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u w:val="single"/>
          <w:lang w:eastAsia="pl-PL"/>
        </w:rPr>
      </w:pPr>
      <w:r w:rsidRPr="008E2191">
        <w:rPr>
          <w:rFonts w:ascii="Calibri" w:eastAsia="Arial Unicode MS" w:hAnsi="Calibri" w:cs="Calibri"/>
          <w:bCs/>
          <w:u w:val="single"/>
          <w:lang w:eastAsia="pl-PL"/>
        </w:rPr>
        <w:t>ELEMENTY WYKOŃCZENIA WNĘTRZ: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Posadzki: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Zastosować kilka typów posadzek w zależności od przeznaczenia pomieszczeń: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Pomieszczenia biurowe – wykładzina dywanowa.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Komunikacja (korytarze i schody) – posadzki syntetyczne z powłoką poliuretanową układane wg technologii dostawcy o gr 2 i 2.5mm klejone do gruntowanego podłoża na wylewkach samopoziomujących. Na schodach listwy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stopnicowe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, ryflowane. Posadzki o wysokiej odporności na zużycie. 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Pomieszczenia sanitarne i techniczne - gres antypoślizgowy w klasie ścieralności odpowiedniej do pomieszczeń użyteczności publicznej.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Parking podziemny – posadzka betonowa, monolityczna, utwardzana powierzchniowo. Pasy, wydzielenie miejsc parkingowych malowane farbą.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Dobór materiałów do uzgodnienia z Zamawiającym na etapie projektowania.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Okna i drzwi: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Okna w formie ślusarki aluminiowej.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Drzwi wewnętrzne i okna w formie ślusarki aluminiowej.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Kolorystyka w odcieniach jasnoszarych taka sama dla ślusarki zewnętrznej, wewnętrznej i obróbek blacharskich.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Drzwi zewnętrzne wejściowe - aluminiowe z profilem ciepłym. Szklenie szkłem zespolonym bezpiecznym dwuszybowym, z samozamykaczami i  zamkami z wkładką patentową. Klamki i szyldy aluminiowe w kolorze stolarki.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Drzwi zewnętrzne z pomieszczeń na teren - aluminiowe z profilem ciepłym. Szklenie szkłem zespolonym bezpiecznym dwuszybowym, z zamkami z wkładką patentową. Klamki i szyldy aluminiowe w kolorze naturalnym. Drzwi w systemie fasadowym zastosowanej ściany kurtynowej.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Drzwi zewnętrzne do pomieszczeń technicznych - stalowe wypełnione wełną mineralną z profilem ciepłym, pełne, z zamkami z wkładką patentową. Kolorystyka szara, w kolorze profili stolarki.  Klamki i szyldy aluminiowe w kolorze naturalnym.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Drzwi wewnętrzne - aluminiowe, szklenie szkłem zespolonym bezpiecznym z zamkami z wkładką patentową. Klamki i szyldy aluminiowe w kolorze naturalnym.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Drzwi do przedsionków pomieszczeń sanitarnych – wyposażone w samozamykacze i otwory</w:t>
      </w:r>
      <w:r w:rsidR="000148AB" w:rsidRPr="008E2191">
        <w:rPr>
          <w:rFonts w:ascii="Calibri" w:eastAsia="Arial Unicode MS" w:hAnsi="Calibri" w:cs="Calibri"/>
          <w:bCs/>
          <w:lang w:eastAsia="pl-PL"/>
        </w:rPr>
        <w:t xml:space="preserve"> </w:t>
      </w:r>
      <w:r w:rsidRPr="008E2191">
        <w:rPr>
          <w:rFonts w:ascii="Calibri" w:eastAsia="Arial Unicode MS" w:hAnsi="Calibri" w:cs="Calibri"/>
          <w:bCs/>
          <w:lang w:eastAsia="pl-PL"/>
        </w:rPr>
        <w:t>napowietrzające.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Wszystkie drzwi wewnętrzne wyposażone w stopery lub odbojnice.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Drzwi wewnętrzne wydzielające strefy pożarowe z samozamykaczami.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Drzwi otwierane na zewnątrz dróg ewakuacyjnych wykładane na ściany nie zawężające przejścia ewakuacyjnego.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Drzwi wewnętrzne z korytarzy do pomieszczeń biurowych z naświetlem.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Elementy do uzgodnienia z Zamawiającym.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Sufity podwieszane: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Sufity podwieszane z płyt g-k pełne lub rastrowe, systemowe, z krawędzią obniżaną do konstrukcji aluminiowej lub krawędzią ukrytą, na ruszcie aluminiowym.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Dylatacje: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Wykończenie szczelin dylatacyjnych izolacyjnych i przeciwskurczowych wykonać z zastosowaniem systemowych listew dylatacyjnych stalowych lub stalowo-gumowych dobranych odpowiednio do wielkości szczeliny i rodzaju posadzki, a w posadzkach betonowych również z zastosowaniem mas trwale plastycznych.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Pochwyty i balustrady: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Ze stali nierdzewnej w wykończeniu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inox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lub ze stali malowane proszkowo.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Do uzgodnienia z Zamawiającym.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Tynki wewnętrzne: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Tynki cementowo-wapienne, kładzione mechanicznie. Ściany malowane farbą lateksową. Kolorystyka </w:t>
      </w:r>
      <w:r w:rsidR="00EE069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– do uzgodnienia z Zamawiającym na etapie projektowania.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 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System informacji wizualnej: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 budynku należy wykonać system informacji wizualnej w formie uzgodnionej z Inwestorem.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Tablice podświetlane aluminiowe prezentacyjne w holach każdej kondygnacji przy wejściu na kondygnację.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Opis pomieszczeń z tabliczkami przy każdym wejściu z komunikacji ogólnej.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Standy i wieszaki naścienne na ulotki i publikacje.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Monitor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led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50cali w holu głównym w pobliżu wejścia głównego.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Instalacja alarmowa: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 budynku należy wykonać system instalacji alarmowej zgodny z zasadami Ubezpieczyciela.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Wytyczne do zaprojektowania sieci teleinformatycznej: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Okablowanie strukturalne: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Okablowanie sieci komputerowej powinno zostać wykonane w oparciu o nieekranowany przewód typu skrętka kategorii 6a. Całość okablowania (przewody, gniazda, panele krosownice) muszą pochodzić z oferty jednego producenta, który po wykonaniu instalacji musi wydać certyfikat na okablowanie strukturalne oraz 25-letnią gwarancję.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Nie przewiduje się osobnej instalacji na sieć telefoniczną.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Patch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Panele: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Panele rozdzielcze należy rozmieścić w taki sposób aby na 2 sztuki przypadał 1 poziomy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organizer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do przewodów. Zakończenia gniazd należy oznaczyć według wzoru 0.001, 0.002, X.YYY gdzie X to numer kondygnacji a YYY numer gniazda na danej kondygnacji. Poszczególne panele należy rozłożyć tak aby zachowana była ciągłość numeracji.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lastRenderedPageBreak/>
        <w:t>Rozlokowanie gniazd Rj-45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Gniazda powinny być rozlokowane tak, aby na każde planowane stanowisko komputerowe przypadało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1 gniazdo 2xRj45 + 15-20% gniazd dodatkowych na pomieszczenie.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Dodatkowo na każdym piętrze budynku należy przewidzieć punkt na dużą drukarkę </w:t>
      </w:r>
      <w:r w:rsidRPr="008E2191">
        <w:rPr>
          <w:rFonts w:ascii="Calibri" w:eastAsia="Arial Unicode MS" w:hAnsi="Calibri" w:cs="Calibri"/>
          <w:bCs/>
          <w:lang w:eastAsia="pl-PL"/>
        </w:rPr>
        <w:br/>
        <w:t>z podłączeniem do sieci komputerowej oraz elektrycznej.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W dużych pomieszczeniach biurowych należy zastosować również gniazda w puszkach podłogowych (także elektryczne).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Gniazda powinny zostać opisane w sposób analogiczny do opisu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Patch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paneli.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Sieć bezprzewodowa (Wi-Fi):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 budynku należy przewidzieć instalację pod punkty dostępowe sieci bezprzewodowej rozmieszczone po całym budynku. Ponieważ jest to rozbudowa istniejącej infrastruktury sieciowej KPT należy założyć urządzenia firmy HP lub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Fortinet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>. Na etapie projektowania Zamawiający dostarczy proponowany model kontrolera oraz punktów dostępowych, które należy założyć w projekcie.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Punkty dostępowe mocowane będą pod sufitem lub na listwach sufitu podwieszanego.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Na każdy z punktów dostępu należy przewidzieć 2 przewody kat 6a zakończone gniazdem 2xRj45 po stronie punktu dostępowego oraz panelem rozdzielczym w budynkowym punkcie dystrybucyjnym. Każdy z dwóch przewodów należy zakończyć w osobnych panelach rozdzielczych ponieważ 1 przewód to sygnał dla punktu dostępowego i należy go zakończyć w panelu który trzeba opisać zgodnie z wzorem AP1, AP2,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APx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gdzie x to numer punktu dostępowego. Gniazda na potrzeby punktów dostępowych powinny zostać opisane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w sposób analogiczny do paneli rozdzielczych.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Przewód drugi to dostęp do konsoli urządzenia i należy go zakończyć w drugim panelu który należy opisać zgodnie z wzorem AP1c AP2c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ApXc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gdzie X to numer punktu dostępowego.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Punkty dostępowe sieci bezprzewodowej należy rozplanować przy użyciu narzędzia typu RF Planner tak aby cała powierzchnia budynku pokryta była dobrym sygnałem sieci bezprzewodowej.  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Punkt dystrybucyjny sieci komputerowej: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 budynku należy przewidzieć jedno pomieszczenie przeznaczone na Punkt Dystrybucji sieci komputerowej. W tym pomieszczeniu muszą schodzić się wszystkie przewody sieciowe i być zakończone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 xml:space="preserve">w szafach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za pomocą pach paneli. Budynkowy punkt dystrybucyjny musi być połączony z serwerowni</w:t>
      </w:r>
      <w:r w:rsidR="00DB552A" w:rsidRPr="008E2191">
        <w:rPr>
          <w:rFonts w:ascii="Calibri" w:eastAsia="Arial Unicode MS" w:hAnsi="Calibri" w:cs="Calibri"/>
          <w:bCs/>
          <w:lang w:eastAsia="pl-PL"/>
        </w:rPr>
        <w:t xml:space="preserve">ą KPT za pomocą światłowodów </w:t>
      </w:r>
      <w:proofErr w:type="spellStart"/>
      <w:r w:rsidR="00DB552A" w:rsidRPr="008E2191">
        <w:rPr>
          <w:rFonts w:ascii="Calibri" w:eastAsia="Arial Unicode MS" w:hAnsi="Calibri" w:cs="Calibri"/>
          <w:bCs/>
          <w:lang w:eastAsia="pl-PL"/>
        </w:rPr>
        <w:t>je</w:t>
      </w:r>
      <w:r w:rsidRPr="008E2191">
        <w:rPr>
          <w:rFonts w:ascii="Calibri" w:eastAsia="Arial Unicode MS" w:hAnsi="Calibri" w:cs="Calibri"/>
          <w:bCs/>
          <w:lang w:eastAsia="pl-PL"/>
        </w:rPr>
        <w:t>d</w:t>
      </w:r>
      <w:r w:rsidR="00DB552A" w:rsidRPr="008E2191">
        <w:rPr>
          <w:rFonts w:ascii="Calibri" w:eastAsia="Arial Unicode MS" w:hAnsi="Calibri" w:cs="Calibri"/>
          <w:bCs/>
          <w:lang w:eastAsia="pl-PL"/>
        </w:rPr>
        <w:t>n</w:t>
      </w:r>
      <w:r w:rsidRPr="008E2191">
        <w:rPr>
          <w:rFonts w:ascii="Calibri" w:eastAsia="Arial Unicode MS" w:hAnsi="Calibri" w:cs="Calibri"/>
          <w:bCs/>
          <w:lang w:eastAsia="pl-PL"/>
        </w:rPr>
        <w:t>omodowych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(ilość włókien zostanie dobrana po określeniu ilości wymaganych urządzeń sieciowych)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Szafy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>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Punkt dystrybucyjny musi zostać wyposażony w niezbędną ilość szaf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o wysokości minimum 42U, szerokości 80cm i głębokości minimum 1 metra. Drzwi do szafy muszą być przeszklone i umożliwiać zamknięcie szaf na klucz. Należy również przewidzieć swobodny dostęp do szaf z przodu oraz przestrzeń za szafami (tak aby dało się tylną część szafy otworzyć i dokonać w niej prac). Każda szafa powinna być wyposażona w uchwyty kablowe z przodu i z tyłu do mocowania przewodów (uchwyty pionowe i poziomie + przepusty kablowe). 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Na potrzeby monitoringu i kontroli dostępu należy założyć osobną szafę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>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B552A" w:rsidRPr="008E2191" w:rsidRDefault="00DB552A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lastRenderedPageBreak/>
        <w:t xml:space="preserve">Zasilanie: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Każda szafa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musi być wyposażona w listwę typu APC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Metered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PDU umożliwiającą monitorowanie podłączonych urządzeń oraz blachę do przypinania przewodów elektrycznych podłączanych do listwy.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Wszystkie listwy PDU muszą zostać podłączone do zasilacza awaryjnego UPS tego samego producenta, co listwy PDU i szafy. UPS musi być wyposażony w kartę sieciową, która umożliwia monitorowanie pracy urządzenia oraz mechanizm SNMP Trap do powiadamiania o zaistniałych problemach (np. APC Smart-UPS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z rozszerzoną gwarancją producenta do 5 lat).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Pomieszczenie musi zostać wyposażone w klimatyzację przystosowaną do pracy 24/7 365 dni w roku niezależną od chłodzenia reszty budynku. Dostęp do pomieszczenia musi odbywać się za pomocą elektronicznego systemu kontroli dostępu (czytnik kart z klawiaturą/biometryczny – rejestracja wejścia/wyjścia).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Na każde 2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patch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panele należy przewidzieć jeden panel porządkujący (poziomy wieszak do kabli 19”). Należy również przewidzieć uchwyty kablowe pionowe z dużym oczkiem (uchwytem kablowym) na całej wysokości szafy lub moduły na całą wysokość szafy przystosowane do wpinania przewodów (rozwiązanie preferowane).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Niewykorzystane przestrzenie w szafach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należy zaślepić blachami/zaślepkami o wysokości 1U.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W pomieszczeniu musi być przewidziany bypass dla UPS-a tzn. możliwość odłączenie go bez wyłączania urządzeń do niego podłączonych.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Monitorowanie środowiska: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Punkt dystrybucji okablowania musi zostać wyposażony w system monitorowania środowiska (temperatura, wilgotność). Można wykorzystać do tego celu dodatkowe czujniki, które kontroluje zasilacz awaryjny. Dostęp do informacji z czujników musi być zapewniony przez sieć komputerową z możliwością integracji rozwiązania z oprogramowaniem HP IMC przy użyciu protokołu SNMP.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Urządzenia aktywne: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Szafy ulokowane w punkcie dystrybucyjnym muszą zostać wyposażone w odpowiednią ilość przełączników sieciowych. Ponieważ jest KPT posiada już sieć komputerową w trzech budynkach oraz wykorzystuje do jej administrowania zaawansowane oprogramowanie HP IMC to urządzenia sieciowe należy założyć również tej firmy.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W warstwie dostępowej należy założyć urządzenia wyposażone w 48 portów 1Gb Ethernet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PoE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oraz minimum 2x10Gb Ethernet (używane do tej porty to HP A5500-48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PoE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>).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Należy również założyć 2 przełączniki (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redundatne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) do agregacji z 48 portami 10Gb  I 2 40GB (Rozbudowa istniejącego klastra IRF zbudowanego z przełączników HP A5900 z gwarancją minimum 5 lat). Połączenia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w obrębie punktu dystrybucyjnego należy zrealizować z pomocą kabli DAC 2x10Gb, z drugiego budynku światłowodów , a połączenie z serwerownią 4x10Gb (x2 przełączniki) SFP+. Konieczna będzie również rozbudowa interfejsów SFP+ w istniejącym klastrze na potrzeby połączenia obu rozwiązań. Dla obu budynków prawdopodobnie wystarczy jeden klaster zbudowany z przełączników A5900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Urządzenia typu firewall, router itp. Już są zainstalowane w serwerowni KPT i nie przewiduje się ich rozbudowy ani wymiany</w:t>
      </w:r>
      <w:r w:rsidR="000148AB" w:rsidRPr="008E2191">
        <w:rPr>
          <w:rFonts w:ascii="Calibri" w:eastAsia="Arial Unicode MS" w:hAnsi="Calibri" w:cs="Calibri"/>
          <w:bCs/>
          <w:lang w:eastAsia="pl-PL"/>
        </w:rPr>
        <w:t>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0148AB" w:rsidRPr="008E2191" w:rsidRDefault="000148AB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B552A" w:rsidRPr="008E2191" w:rsidRDefault="00DB552A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lastRenderedPageBreak/>
        <w:t>Klaster serwerów i macierz dyskowa</w:t>
      </w:r>
      <w:r w:rsidR="000148AB" w:rsidRPr="008E2191">
        <w:rPr>
          <w:rFonts w:ascii="Calibri" w:eastAsia="Arial Unicode MS" w:hAnsi="Calibri" w:cs="Calibri"/>
          <w:bCs/>
          <w:lang w:eastAsia="pl-PL"/>
        </w:rPr>
        <w:t>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Na potrzeby zarządzania infrastrukturą sieciową należy przewidzieć klaster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serwrów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pod wirtualizację zbudowany z minimum dwóch/trzech serwerów np. HP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ProLiant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DL360 (2 CPU, 128GB RAM), szybkiego, współdzielonego systemu dyskowego (macierzy), oraz kontraktu serwisowego minimum 5 lat NBD.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Szczegóły dotyczące sprzętu, integracji poszczególnych systemów z istniejącymi zostaną omówione na etapie projektowania.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Połączenia między budynkami IT oraz nowym Inkubatorem: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Pomiędzy serwerownią KPT znajdującą się w budynku Inkubatora Technologicznego Orange Inc. a Punktem Dystrybucyjnym nowego budynku należy zapewnić łączność w postaci światłowodów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jednomodowych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 xml:space="preserve">i wielomodowych w ilości    48 włókien Single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Mode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i 24 włókna Multi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Mode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. Światłowody należy zakończyć interfejsem LC duplex oraz całość odpowiednio opisać.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Kontrola dostępu: 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Kontrola dostępu powinna zostać wykonana jako rozbudowa systemu zainstalowanego w budynku Inkubatora Technologicznego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Skye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Inc. i być zarządzana z jednego miejsca (system Roger). System powinien obejmować wszystkie pomieszczenia za wyjątkiem pomieszczeń ogólnodostępnych (toaleta, pomieszczenia socjalne) jak również wejścia do budynku (czytnik wejścia/wyjścia). Drzwi muszą być przystosowane do montażu kontroli dostępu. Czytniki powinny umożliwiać identyfikację za pomocą linii papilarnych/kart zbliżeniowych. Kontrola  dostępu powinna posiadać gwarantowane źródło zasilania (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ups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). W ramach zadania może być konieczna aktualizacja systemu zarządzającego. Należy również przewidzieć dedykowany serwer montowany w szafie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rack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z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serwrowym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systemem operacyjnym, dostępem zdalnym i lokalną konsolą. Np.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Hp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 xml:space="preserve"> </w:t>
      </w:r>
      <w:proofErr w:type="spellStart"/>
      <w:r w:rsidRPr="008E2191">
        <w:rPr>
          <w:rFonts w:ascii="Calibri" w:eastAsia="Arial Unicode MS" w:hAnsi="Calibri" w:cs="Calibri"/>
          <w:bCs/>
          <w:lang w:eastAsia="pl-PL"/>
        </w:rPr>
        <w:t>ProLiant</w:t>
      </w:r>
      <w:proofErr w:type="spellEnd"/>
      <w:r w:rsidRPr="008E2191">
        <w:rPr>
          <w:rFonts w:ascii="Calibri" w:eastAsia="Arial Unicode MS" w:hAnsi="Calibri" w:cs="Calibri"/>
          <w:bCs/>
          <w:lang w:eastAsia="pl-PL"/>
        </w:rPr>
        <w:t>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Monitoring: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 xml:space="preserve">System telewizji przemysłowej powinien zostać zbudowany w oparciu o rozwiązania  systemu istniejącego w budynkach IT – ten sam producent urządzeń by wykorzystać jedną platformę zarządzającą (oprogramowanie dedykowane). Urządzenia (typu rejestrator, krosownica) powinny być wyposażone </w:t>
      </w:r>
      <w:r w:rsidR="000148AB" w:rsidRPr="008E2191">
        <w:rPr>
          <w:rFonts w:ascii="Calibri" w:eastAsia="Arial Unicode MS" w:hAnsi="Calibri" w:cs="Calibri"/>
          <w:bCs/>
          <w:lang w:eastAsia="pl-PL"/>
        </w:rPr>
        <w:br/>
      </w:r>
      <w:r w:rsidRPr="008E2191">
        <w:rPr>
          <w:rFonts w:ascii="Calibri" w:eastAsia="Arial Unicode MS" w:hAnsi="Calibri" w:cs="Calibri"/>
          <w:bCs/>
          <w:lang w:eastAsia="pl-PL"/>
        </w:rPr>
        <w:t>w szybki interfejs sieciowy typu Ethernet i zarządzane z jednego punktu przez sieć.  Na zewnątrz budynku powinny być zainstalowane kamery obrotowe. Kamery powinny działać w oparciu o technologię IP, rejestrować obraz HD, w dzień i w nocy. Rejestrator/serwer powinien przechowywać nagrania przez okres minimum 1 miesiąca.</w:t>
      </w:r>
    </w:p>
    <w:p w:rsidR="00DB552A" w:rsidRPr="008E2191" w:rsidRDefault="00DB552A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B552A" w:rsidRPr="008E2191" w:rsidRDefault="00DB552A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Pozostałe:</w:t>
      </w:r>
    </w:p>
    <w:p w:rsidR="00DB552A" w:rsidRPr="008E2191" w:rsidRDefault="00DB552A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Wszystkie pozostałe elementy w tym m.in. instalacje sanitarne, elektryczne itp. projektować w uzgodnieniu z Zamawiającym podczas opracowywania dokumentacji.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Zestawienie powierzchni użytkowej – zgodnie z załączonymi rzutami: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KONDYGNACJA -1: powierzchnia użytkowa 3835,53m2; powierzchnia całkowita 4100,61m2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KONDYGNACJA 1: powierzchnia użytkowa 1820,35 m2; powierzchnia całkowita 2241,73m2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KONDYGNACJA 2: powierzchnia użytkowa 2339,73m2; powierzchnia całkowita 2803,85m2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KONDYGNACJA 3: 2 powierzchnia całkowita 203,32m2;  powierzchnia całkowita 2803,85m2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KONDYGNACJA 4: 1 powierzchnia całkowita 557,91m2; powierzchnia całkowita  1957,39m2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lastRenderedPageBreak/>
        <w:t>KONDYGNACJA 5: powierzchnia całkowita 1651,69m2; powierzchnia całkowita 1892,76m2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8E2191">
        <w:rPr>
          <w:rFonts w:ascii="Calibri" w:eastAsia="Calibri" w:hAnsi="Calibri" w:cs="Calibri"/>
        </w:rPr>
        <w:t>KONDYGNACJA 6: powierzchnia całkowita 1045,46m2; powierzchnia całkowita 1311,87m2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SUMA powierzchnia całkowita 14278,86 m2; powierzchnia całkowita 17112,05 m2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 Unicode MS" w:hAnsi="Calibri" w:cs="Tahoma"/>
          <w:bCs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 Unicode MS" w:hAnsi="Calibri" w:cs="Tahoma"/>
          <w:b/>
          <w:bCs/>
          <w:u w:val="single"/>
          <w:lang w:eastAsia="pl-PL"/>
        </w:rPr>
      </w:pPr>
      <w:r w:rsidRPr="008E2191">
        <w:rPr>
          <w:rFonts w:ascii="Calibri" w:eastAsia="Arial Unicode MS" w:hAnsi="Calibri" w:cs="Tahoma"/>
          <w:b/>
          <w:bCs/>
          <w:u w:val="single"/>
          <w:lang w:eastAsia="pl-PL"/>
        </w:rPr>
        <w:t>Podane wartości są orientacyjne. Zamawiający dopuszcza możliwość zmiany powierzchni całościowej jak i w obrębie poszczególnych poziomów i pomieszczeń.</w:t>
      </w:r>
    </w:p>
    <w:p w:rsidR="00D0420F" w:rsidRPr="008E2191" w:rsidRDefault="00D0420F" w:rsidP="00D0420F">
      <w:pPr>
        <w:rPr>
          <w:rFonts w:ascii="Calibri" w:eastAsia="Calibri" w:hAnsi="Calibri" w:cs="Calibri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bCs/>
          <w:u w:val="single"/>
          <w:lang w:eastAsia="pl-PL"/>
        </w:rPr>
      </w:pPr>
      <w:r w:rsidRPr="008E2191">
        <w:rPr>
          <w:rFonts w:ascii="Calibri" w:eastAsia="Arial Unicode MS" w:hAnsi="Calibri" w:cs="Calibri"/>
          <w:b/>
          <w:bCs/>
          <w:u w:val="single"/>
          <w:lang w:eastAsia="pl-PL"/>
        </w:rPr>
        <w:t>Podczas komercjalizacji budynku istnieje możliwość dostosowania wielkości pomieszczeń do potrzeb najemców. Należy przewidzieć możliwość łączenia mniejszych modułów biurowych w większe za pomocą lekkich ścianek działowych.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Tahoma"/>
          <w:bCs/>
          <w:lang w:eastAsia="pl-PL"/>
        </w:rPr>
      </w:pPr>
    </w:p>
    <w:p w:rsidR="00D0420F" w:rsidRPr="008E2191" w:rsidRDefault="00D0420F" w:rsidP="000148AB">
      <w:pPr>
        <w:tabs>
          <w:tab w:val="left" w:pos="168"/>
        </w:tabs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Arial"/>
          <w:lang w:eastAsia="pl-PL"/>
        </w:rPr>
      </w:pPr>
    </w:p>
    <w:p w:rsidR="00D0420F" w:rsidRPr="008E2191" w:rsidRDefault="00D0420F" w:rsidP="000148AB">
      <w:pPr>
        <w:numPr>
          <w:ilvl w:val="0"/>
          <w:numId w:val="7"/>
        </w:numPr>
        <w:tabs>
          <w:tab w:val="left" w:pos="168"/>
        </w:tabs>
        <w:autoSpaceDE w:val="0"/>
        <w:autoSpaceDN w:val="0"/>
        <w:adjustRightInd w:val="0"/>
        <w:spacing w:after="0" w:line="276" w:lineRule="auto"/>
        <w:ind w:hanging="862"/>
        <w:jc w:val="both"/>
        <w:rPr>
          <w:rFonts w:ascii="Calibri" w:eastAsia="Times New Roman" w:hAnsi="Calibri" w:cs="Arial"/>
          <w:b/>
          <w:lang w:eastAsia="pl-PL"/>
        </w:rPr>
      </w:pPr>
      <w:r w:rsidRPr="008E2191">
        <w:rPr>
          <w:rFonts w:ascii="Calibri" w:eastAsia="Times New Roman" w:hAnsi="Calibri" w:cs="Tahoma"/>
          <w:b/>
          <w:lang w:eastAsia="pl-PL"/>
        </w:rPr>
        <w:t xml:space="preserve">Szczegółowy zakres zamówienia – ilości poszczególnych elementów dokumentacji projektowej zgodne </w:t>
      </w:r>
      <w:r w:rsidR="000148AB" w:rsidRPr="008E2191">
        <w:rPr>
          <w:rFonts w:ascii="Calibri" w:eastAsia="Times New Roman" w:hAnsi="Calibri" w:cs="Tahoma"/>
          <w:b/>
          <w:lang w:eastAsia="pl-PL"/>
        </w:rPr>
        <w:br/>
      </w:r>
      <w:r w:rsidRPr="008E2191">
        <w:rPr>
          <w:rFonts w:ascii="Calibri" w:eastAsia="Times New Roman" w:hAnsi="Calibri" w:cs="Tahoma"/>
          <w:b/>
          <w:lang w:eastAsia="pl-PL"/>
        </w:rPr>
        <w:t>z SIWZ i warunkami umowy: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Tahoma"/>
          <w:lang w:eastAsia="pl-PL"/>
        </w:rPr>
      </w:pP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1. Wykonawca zobowiązany jest, w zakresie dokumentacji projektowej do wykonania i pozyskania: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mapy ewidencyjnej skala 1:1000 (oryginał), z klauzulą aktualności, z czytelnymi numerami wszystkich działek wchodzących w zakres inwestycji oraz sąsiadujących z inwestycją (bez wrysowanego projektu zagospodarowania terenu),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kopii mapy ewidencyjnej skala 1:1000 (oryginał), z klauzulą aktualności, z czytelnymi numerami wszystkich działek wchodzących w zakres inwestycji oraz sąsiadujących z inwestycją z naniesioną granicą zajętości terenu oraz naniesionymi i zróżnicowanymi kolorystycznie projektowanym zagospodarowaniem terenu,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mapy do celów projektowych, przyjętej do państwowego zasobu geodezyjnego,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projektu budowlanego i wykonawczego,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stosownych opinii, opracowań, w zakresie wymaganym przepisami prawa,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przedmiarów,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kosztorysów,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Specyfikacji Technicznej Wykonania i Odbioru Robót,</w:t>
      </w:r>
    </w:p>
    <w:p w:rsidR="00D0420F" w:rsidRPr="008E2191" w:rsidRDefault="00215FEF" w:rsidP="00D0420F">
      <w:pPr>
        <w:numPr>
          <w:ilvl w:val="0"/>
          <w:numId w:val="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 xml:space="preserve">informacja </w:t>
      </w:r>
      <w:proofErr w:type="spellStart"/>
      <w:r w:rsidRPr="008E2191">
        <w:rPr>
          <w:rFonts w:ascii="Calibri" w:eastAsia="Times New Roman" w:hAnsi="Calibri" w:cs="Calibri"/>
          <w:lang w:eastAsia="pl-PL"/>
        </w:rPr>
        <w:t>BiOZ</w:t>
      </w:r>
      <w:proofErr w:type="spellEnd"/>
      <w:r w:rsidR="00D0420F" w:rsidRPr="008E2191">
        <w:rPr>
          <w:rFonts w:ascii="Calibri" w:eastAsia="Times New Roman" w:hAnsi="Calibri" w:cs="Calibri"/>
          <w:lang w:eastAsia="pl-PL"/>
        </w:rPr>
        <w:t>,</w:t>
      </w:r>
    </w:p>
    <w:p w:rsidR="00D0420F" w:rsidRPr="008E2191" w:rsidRDefault="00D0420F" w:rsidP="00D0420F">
      <w:pPr>
        <w:numPr>
          <w:ilvl w:val="0"/>
          <w:numId w:val="5"/>
        </w:numPr>
        <w:tabs>
          <w:tab w:val="left" w:pos="653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złożenie stosownych wniosków w celu uzyskania właściwych opinii, uzgodnień, decyzji administracyjnych (w tym zatwierdzenie projektu budowlanego - stosownie do potrzeb) oraz uzyskanie prawomocnej decyzji pozwolenia na budowę.</w:t>
      </w:r>
    </w:p>
    <w:p w:rsidR="00D0420F" w:rsidRPr="008E2191" w:rsidRDefault="00D0420F" w:rsidP="00D0420F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D0420F" w:rsidRPr="008E2191" w:rsidRDefault="00D0420F" w:rsidP="00D0420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Szczegółowy zakres i forma dokumentacji projektowej</w:t>
      </w:r>
      <w:r w:rsidR="00103C60" w:rsidRPr="008E2191">
        <w:rPr>
          <w:rFonts w:ascii="Calibri" w:eastAsia="Arial Unicode MS" w:hAnsi="Calibri" w:cs="Calibri"/>
          <w:bCs/>
          <w:lang w:eastAsia="pl-PL"/>
        </w:rPr>
        <w:t xml:space="preserve"> (każda branża oddzielnie)</w:t>
      </w:r>
      <w:r w:rsidRPr="008E2191">
        <w:rPr>
          <w:rFonts w:ascii="Calibri" w:eastAsia="Arial Unicode MS" w:hAnsi="Calibri" w:cs="Calibri"/>
          <w:bCs/>
          <w:lang w:eastAsia="pl-PL"/>
        </w:rPr>
        <w:t>:</w:t>
      </w:r>
    </w:p>
    <w:p w:rsidR="00D0420F" w:rsidRPr="008E2191" w:rsidRDefault="00D0420F" w:rsidP="00D0420F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8E2191">
        <w:rPr>
          <w:rFonts w:ascii="Calibri" w:eastAsia="Arial Unicode MS" w:hAnsi="Calibri" w:cs="Calibri"/>
          <w:bCs/>
          <w:lang w:eastAsia="pl-PL"/>
        </w:rPr>
        <w:t>dokumentację projektową należy opracować w</w:t>
      </w:r>
      <w:r w:rsidRPr="008E2191">
        <w:rPr>
          <w:rFonts w:ascii="Calibri" w:eastAsia="Times New Roman" w:hAnsi="Calibri" w:cs="Calibri"/>
          <w:lang w:eastAsia="pl-PL"/>
        </w:rPr>
        <w:t xml:space="preserve"> formie papierowej - opisowej i graficznej, w tym: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projekt budowlany - 5 egz. (4 egz. do wniosku o pozwolenie na budowę, 1 egz. dla Zamawiającego),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 xml:space="preserve">potwierdzenia złożenia stosownych wniosków do właściwych jednostek i organów administracji publicznej celem uzyskania odpowiednich opinii, uzgodnień, pozwoleń i decyzji administracyjnych </w:t>
      </w:r>
      <w:r w:rsidR="000148AB" w:rsidRPr="008E2191">
        <w:rPr>
          <w:rFonts w:ascii="Calibri" w:eastAsia="Times New Roman" w:hAnsi="Calibri" w:cs="Calibri"/>
          <w:lang w:eastAsia="pl-PL"/>
        </w:rPr>
        <w:br/>
      </w:r>
      <w:r w:rsidRPr="008E2191">
        <w:rPr>
          <w:rFonts w:ascii="Calibri" w:eastAsia="Times New Roman" w:hAnsi="Calibri" w:cs="Calibri"/>
          <w:lang w:eastAsia="pl-PL"/>
        </w:rPr>
        <w:t>- 1 egz.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projekty wykonawcze - 5 egz.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przedmiary - 3 egz.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lastRenderedPageBreak/>
        <w:t>kosztorysy inwestorskie - 3 egz.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Specyfikacja Techniczna Wykonania i Odbioru Robót, Szczegółowa Specyfikacja Techniczna Wykonania i</w:t>
      </w:r>
      <w:r w:rsidR="00103C60" w:rsidRPr="008E2191">
        <w:rPr>
          <w:rFonts w:ascii="Calibri" w:eastAsia="Times New Roman" w:hAnsi="Calibri" w:cs="Calibri"/>
          <w:lang w:eastAsia="pl-PL"/>
        </w:rPr>
        <w:t xml:space="preserve"> Odbioru Robót, informacja </w:t>
      </w:r>
      <w:proofErr w:type="spellStart"/>
      <w:r w:rsidR="00103C60" w:rsidRPr="008E2191">
        <w:rPr>
          <w:rFonts w:ascii="Calibri" w:eastAsia="Times New Roman" w:hAnsi="Calibri" w:cs="Calibri"/>
          <w:lang w:eastAsia="pl-PL"/>
        </w:rPr>
        <w:t>BiOZ</w:t>
      </w:r>
      <w:proofErr w:type="spellEnd"/>
      <w:r w:rsidRPr="008E2191">
        <w:rPr>
          <w:rFonts w:ascii="Calibri" w:eastAsia="Times New Roman" w:hAnsi="Calibri" w:cs="Calibri"/>
          <w:lang w:eastAsia="pl-PL"/>
        </w:rPr>
        <w:t>. - 3 egz.</w:t>
      </w:r>
    </w:p>
    <w:p w:rsidR="00D0420F" w:rsidRPr="008E2191" w:rsidRDefault="00D0420F" w:rsidP="00D0420F">
      <w:pPr>
        <w:tabs>
          <w:tab w:val="left" w:pos="13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:rsidR="00D0420F" w:rsidRPr="008E2191" w:rsidRDefault="00103C60" w:rsidP="00D0420F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na nośniku cyfrowym – płyta CD</w:t>
      </w:r>
      <w:r w:rsidR="00D0420F" w:rsidRPr="008E2191">
        <w:rPr>
          <w:rFonts w:ascii="Calibri" w:eastAsia="Times New Roman" w:hAnsi="Calibri" w:cs="Calibri"/>
          <w:lang w:eastAsia="pl-PL"/>
        </w:rPr>
        <w:t>– 1 egz.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76" w:lineRule="auto"/>
        <w:ind w:left="-142" w:firstLine="426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opisy techniczne projektów – DOC, PDF.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-142"/>
        </w:tabs>
        <w:autoSpaceDE w:val="0"/>
        <w:autoSpaceDN w:val="0"/>
        <w:adjustRightInd w:val="0"/>
        <w:spacing w:after="0" w:line="276" w:lineRule="auto"/>
        <w:ind w:left="-142" w:firstLine="426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rysunki techniczne projektów - DWG i PDF.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right="-63" w:hanging="425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Specyfikacja Techniczna Wykonania i</w:t>
      </w:r>
      <w:r w:rsidR="00EE069B" w:rsidRPr="008E2191">
        <w:rPr>
          <w:rFonts w:ascii="Calibri" w:eastAsia="Times New Roman" w:hAnsi="Calibri" w:cs="Calibri"/>
          <w:lang w:eastAsia="pl-PL"/>
        </w:rPr>
        <w:t xml:space="preserve"> </w:t>
      </w:r>
      <w:r w:rsidRPr="008E2191">
        <w:rPr>
          <w:rFonts w:ascii="Calibri" w:eastAsia="Times New Roman" w:hAnsi="Calibri" w:cs="Calibri"/>
          <w:lang w:eastAsia="pl-PL"/>
        </w:rPr>
        <w:t xml:space="preserve">Odbioru Robót, Szczegółowa Specyfikacja </w:t>
      </w:r>
      <w:r w:rsidRPr="008E2191">
        <w:rPr>
          <w:rFonts w:ascii="Calibri" w:eastAsia="Times New Roman" w:hAnsi="Calibri" w:cs="Calibri"/>
          <w:lang w:eastAsia="pl-PL"/>
        </w:rPr>
        <w:br/>
        <w:t xml:space="preserve">Techniczna Wykonania i </w:t>
      </w:r>
      <w:r w:rsidR="00103C60" w:rsidRPr="008E2191">
        <w:rPr>
          <w:rFonts w:ascii="Calibri" w:eastAsia="Times New Roman" w:hAnsi="Calibri" w:cs="Calibri"/>
          <w:lang w:eastAsia="pl-PL"/>
        </w:rPr>
        <w:t xml:space="preserve">Odbioru Robót, informacja </w:t>
      </w:r>
      <w:proofErr w:type="spellStart"/>
      <w:r w:rsidR="00103C60" w:rsidRPr="008E2191">
        <w:rPr>
          <w:rFonts w:ascii="Calibri" w:eastAsia="Times New Roman" w:hAnsi="Calibri" w:cs="Calibri"/>
          <w:lang w:eastAsia="pl-PL"/>
        </w:rPr>
        <w:t>BiOZ</w:t>
      </w:r>
      <w:proofErr w:type="spellEnd"/>
      <w:r w:rsidRPr="008E2191">
        <w:rPr>
          <w:rFonts w:ascii="Calibri" w:eastAsia="Times New Roman" w:hAnsi="Calibri" w:cs="Calibri"/>
          <w:lang w:eastAsia="pl-PL"/>
        </w:rPr>
        <w:t xml:space="preserve"> – DOC, PDF.</w:t>
      </w:r>
    </w:p>
    <w:p w:rsidR="00D0420F" w:rsidRPr="008E2191" w:rsidRDefault="00D0420F" w:rsidP="00D0420F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418" w:hanging="1134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Kosztorysy i przedmiary – ATH, PDF</w:t>
      </w:r>
    </w:p>
    <w:p w:rsidR="007B2DC8" w:rsidRPr="008E2191" w:rsidRDefault="007B2DC8" w:rsidP="007B2DC8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:rsidR="00D0420F" w:rsidRPr="008E2191" w:rsidRDefault="007B2DC8" w:rsidP="007B2DC8">
      <w:pPr>
        <w:pStyle w:val="Akapitzlist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eastAsia="Times New Roman" w:cs="Arial"/>
          <w:lang w:eastAsia="pl-PL"/>
        </w:rPr>
        <w:t xml:space="preserve">Makieta, Wizualizacja na planszach i formie elektronicznej na płycie CD, rzuty sprzedażowe </w:t>
      </w:r>
      <w:r w:rsidRPr="008E2191">
        <w:rPr>
          <w:rFonts w:eastAsia="Times New Roman" w:cs="Arial"/>
          <w:lang w:eastAsia="pl-PL"/>
        </w:rPr>
        <w:br/>
        <w:t xml:space="preserve">w formie elektronicznej na płycie CD (link do przykładowego rzutu pomieszczeń do celów sprzedaży: </w:t>
      </w:r>
      <w:hyperlink r:id="rId9" w:history="1">
        <w:r w:rsidRPr="008E2191">
          <w:rPr>
            <w:rStyle w:val="Hipercze"/>
            <w:rFonts w:ascii="Calibri" w:eastAsia="Times New Roman" w:hAnsi="Calibri" w:cs="Calibri"/>
            <w:color w:val="auto"/>
            <w:lang w:eastAsia="pl-PL"/>
          </w:rPr>
          <w:t>http://www.technopark.kielce.pl/pl/co_oferuje_park/wynajem_powierzchni/orange_inc</w:t>
        </w:r>
      </w:hyperlink>
      <w:r w:rsidRPr="008E2191">
        <w:rPr>
          <w:rFonts w:ascii="Calibri" w:eastAsia="Times New Roman" w:hAnsi="Calibri" w:cs="Calibri"/>
          <w:lang w:eastAsia="pl-PL"/>
        </w:rPr>
        <w:t xml:space="preserve"> </w:t>
      </w:r>
    </w:p>
    <w:p w:rsidR="007B2DC8" w:rsidRPr="008E2191" w:rsidRDefault="007B2DC8" w:rsidP="00D0420F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1418"/>
        <w:jc w:val="both"/>
        <w:rPr>
          <w:rFonts w:ascii="Calibri" w:eastAsia="Times New Roman" w:hAnsi="Calibri" w:cs="Calibri"/>
          <w:lang w:eastAsia="pl-PL"/>
        </w:rPr>
      </w:pPr>
    </w:p>
    <w:p w:rsidR="00D0420F" w:rsidRPr="008E2191" w:rsidRDefault="00D0420F" w:rsidP="00D0420F">
      <w:pPr>
        <w:numPr>
          <w:ilvl w:val="0"/>
          <w:numId w:val="1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 xml:space="preserve">Czynności związane z postępowaniem administracyjnym dotyczącym opracowania dokumentacji projektowej oraz wykonawstwa realizować należy we właściwej terytorialnie jednostce administracyjnej (tj. Urząd Miasta Kielce) oraz jednostkach opiniujących i uzgadniających charakterystycznych dla przedmiotowego terenu. </w:t>
      </w:r>
    </w:p>
    <w:p w:rsidR="000148AB" w:rsidRPr="008E2191" w:rsidRDefault="000148AB" w:rsidP="000148AB">
      <w:pPr>
        <w:spacing w:after="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:rsidR="00C077C4" w:rsidRPr="008E2191" w:rsidRDefault="00C077C4" w:rsidP="00C077C4">
      <w:pPr>
        <w:pStyle w:val="Tekstpodstawowy21"/>
        <w:tabs>
          <w:tab w:val="left" w:pos="300"/>
        </w:tabs>
        <w:spacing w:line="276" w:lineRule="auto"/>
        <w:ind w:right="4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2191">
        <w:rPr>
          <w:rFonts w:asciiTheme="minorHAnsi" w:hAnsiTheme="minorHAnsi" w:cstheme="minorHAnsi"/>
          <w:b/>
          <w:bCs/>
          <w:sz w:val="22"/>
          <w:szCs w:val="22"/>
        </w:rPr>
        <w:t>10. Wymagania formalne i prawne dotyczące dokumentacji projektowo-kosztorysowej:</w:t>
      </w:r>
    </w:p>
    <w:p w:rsidR="00C077C4" w:rsidRPr="008E2191" w:rsidRDefault="00C077C4" w:rsidP="00C077C4">
      <w:pPr>
        <w:pStyle w:val="Akapitzlist"/>
        <w:tabs>
          <w:tab w:val="left" w:pos="0"/>
        </w:tabs>
        <w:spacing w:line="276" w:lineRule="auto"/>
        <w:ind w:left="360" w:right="45"/>
        <w:jc w:val="both"/>
        <w:rPr>
          <w:rFonts w:cstheme="minorHAnsi"/>
        </w:rPr>
      </w:pPr>
      <w:r w:rsidRPr="008E2191">
        <w:rPr>
          <w:rFonts w:cstheme="minorHAnsi"/>
        </w:rPr>
        <w:t>Dokumentacja budowlano-wykonawcza musi być opracowana w sposób zgodny z:</w:t>
      </w:r>
    </w:p>
    <w:p w:rsidR="00C077C4" w:rsidRPr="008E2191" w:rsidRDefault="00C077C4" w:rsidP="00C077C4">
      <w:pPr>
        <w:pStyle w:val="Akapitzlist"/>
        <w:spacing w:line="276" w:lineRule="auto"/>
        <w:ind w:left="360" w:right="45"/>
        <w:jc w:val="both"/>
        <w:rPr>
          <w:rFonts w:cstheme="minorHAnsi"/>
        </w:rPr>
      </w:pPr>
      <w:r w:rsidRPr="008E2191">
        <w:rPr>
          <w:rFonts w:cstheme="minorHAnsi"/>
        </w:rPr>
        <w:t xml:space="preserve">a) Ustawą z dnia 7 lipca 1994 roku Prawo Budowlane (tj. </w:t>
      </w:r>
      <w:r w:rsidRPr="008E2191">
        <w:rPr>
          <w:rFonts w:cstheme="minorHAnsi"/>
          <w:bCs/>
        </w:rPr>
        <w:t>Dz.U.2016 poz. 290</w:t>
      </w:r>
      <w:r w:rsidRPr="008E2191">
        <w:rPr>
          <w:rFonts w:cstheme="minorHAnsi"/>
          <w:b/>
          <w:bCs/>
        </w:rPr>
        <w:t xml:space="preserve"> </w:t>
      </w:r>
      <w:r w:rsidRPr="008E2191">
        <w:rPr>
          <w:rFonts w:cstheme="minorHAnsi"/>
        </w:rPr>
        <w:t xml:space="preserve">z </w:t>
      </w:r>
      <w:proofErr w:type="spellStart"/>
      <w:r w:rsidRPr="008E2191">
        <w:rPr>
          <w:rFonts w:cstheme="minorHAnsi"/>
        </w:rPr>
        <w:t>późn</w:t>
      </w:r>
      <w:proofErr w:type="spellEnd"/>
      <w:r w:rsidRPr="008E2191">
        <w:rPr>
          <w:rFonts w:cstheme="minorHAnsi"/>
        </w:rPr>
        <w:t xml:space="preserve">. zmianami); </w:t>
      </w:r>
    </w:p>
    <w:p w:rsidR="00C077C4" w:rsidRPr="008E2191" w:rsidRDefault="00C077C4" w:rsidP="00C077C4">
      <w:pPr>
        <w:pStyle w:val="Akapitzlist"/>
        <w:tabs>
          <w:tab w:val="left" w:pos="851"/>
          <w:tab w:val="left" w:pos="2160"/>
        </w:tabs>
        <w:spacing w:line="276" w:lineRule="auto"/>
        <w:ind w:left="360" w:right="45"/>
        <w:jc w:val="both"/>
        <w:rPr>
          <w:rFonts w:eastAsia="Times New Roman" w:cstheme="minorHAnsi"/>
        </w:rPr>
      </w:pPr>
      <w:r w:rsidRPr="008E2191">
        <w:rPr>
          <w:rFonts w:cstheme="minorHAnsi"/>
        </w:rPr>
        <w:t>b) Ustawą z dnia 29 stycznia 2004 r. Prawo zamówień publicznych (</w:t>
      </w:r>
      <w:proofErr w:type="spellStart"/>
      <w:r w:rsidRPr="008E2191">
        <w:rPr>
          <w:rFonts w:cstheme="minorHAnsi"/>
        </w:rPr>
        <w:t>t.j</w:t>
      </w:r>
      <w:proofErr w:type="spellEnd"/>
      <w:r w:rsidRPr="008E2191">
        <w:rPr>
          <w:rFonts w:cstheme="minorHAnsi"/>
        </w:rPr>
        <w:t xml:space="preserve">. </w:t>
      </w:r>
      <w:r w:rsidR="00EE069B" w:rsidRPr="008E2191">
        <w:rPr>
          <w:rFonts w:cstheme="minorHAnsi"/>
        </w:rPr>
        <w:t xml:space="preserve">Dz. U. z  2017 r. poz. 1579 </w:t>
      </w:r>
      <w:r w:rsidR="00EE069B" w:rsidRPr="008E2191">
        <w:rPr>
          <w:rFonts w:cstheme="minorHAnsi"/>
        </w:rPr>
        <w:br/>
        <w:t xml:space="preserve">z </w:t>
      </w:r>
      <w:proofErr w:type="spellStart"/>
      <w:r w:rsidR="00EE069B" w:rsidRPr="008E2191">
        <w:rPr>
          <w:rFonts w:cstheme="minorHAnsi"/>
        </w:rPr>
        <w:t>późn</w:t>
      </w:r>
      <w:proofErr w:type="spellEnd"/>
      <w:r w:rsidR="00EE069B" w:rsidRPr="008E2191">
        <w:rPr>
          <w:rFonts w:cstheme="minorHAnsi"/>
        </w:rPr>
        <w:t>. zm</w:t>
      </w:r>
      <w:r w:rsidRPr="008E2191">
        <w:rPr>
          <w:rFonts w:cstheme="minorHAnsi"/>
        </w:rPr>
        <w:t>.)</w:t>
      </w:r>
    </w:p>
    <w:p w:rsidR="00C077C4" w:rsidRPr="008E2191" w:rsidRDefault="00C077C4" w:rsidP="00C077C4">
      <w:pPr>
        <w:pStyle w:val="Akapitzlist"/>
        <w:tabs>
          <w:tab w:val="left" w:pos="1800"/>
          <w:tab w:val="left" w:pos="2160"/>
        </w:tabs>
        <w:spacing w:line="276" w:lineRule="auto"/>
        <w:ind w:left="360" w:right="45"/>
        <w:jc w:val="both"/>
        <w:rPr>
          <w:rFonts w:eastAsia="Times New Roman" w:cstheme="minorHAnsi"/>
        </w:rPr>
      </w:pPr>
      <w:r w:rsidRPr="008E2191">
        <w:rPr>
          <w:rFonts w:cstheme="minorHAnsi"/>
        </w:rPr>
        <w:t>c) Rozporządzeniem Ministra Infrastruktury z dnia 2 września 2004 r. w sprawie szczegółowego</w:t>
      </w:r>
      <w:r w:rsidRPr="008E2191">
        <w:rPr>
          <w:rFonts w:eastAsia="Times New Roman" w:cstheme="minorHAnsi"/>
        </w:rPr>
        <w:t xml:space="preserve"> </w:t>
      </w:r>
      <w:r w:rsidRPr="008E2191">
        <w:rPr>
          <w:rFonts w:cstheme="minorHAnsi"/>
        </w:rPr>
        <w:t xml:space="preserve">zakresu i formy dokumentacji projektowej, specyfikacji technicznych wykonania i odbioru robót </w:t>
      </w:r>
      <w:r w:rsidRPr="008E2191">
        <w:rPr>
          <w:rFonts w:eastAsia="Times New Roman" w:cstheme="minorHAnsi"/>
        </w:rPr>
        <w:t xml:space="preserve"> </w:t>
      </w:r>
      <w:r w:rsidRPr="008E2191">
        <w:rPr>
          <w:rFonts w:cstheme="minorHAnsi"/>
        </w:rPr>
        <w:t>budowlanych oraz programu funkcjonalno-użytkowego (Dz.U. Nr 202, poz.2072 z 2004 r.</w:t>
      </w:r>
      <w:r w:rsidR="004365DA" w:rsidRPr="008E2191">
        <w:rPr>
          <w:rFonts w:cstheme="minorHAnsi"/>
        </w:rPr>
        <w:t xml:space="preserve"> z </w:t>
      </w:r>
      <w:proofErr w:type="spellStart"/>
      <w:r w:rsidR="004365DA" w:rsidRPr="008E2191">
        <w:rPr>
          <w:rFonts w:cstheme="minorHAnsi"/>
        </w:rPr>
        <w:t>późn</w:t>
      </w:r>
      <w:proofErr w:type="spellEnd"/>
      <w:r w:rsidR="004365DA" w:rsidRPr="008E2191">
        <w:rPr>
          <w:rFonts w:cstheme="minorHAnsi"/>
        </w:rPr>
        <w:t>. zm.</w:t>
      </w:r>
      <w:r w:rsidRPr="008E2191">
        <w:rPr>
          <w:rFonts w:cstheme="minorHAnsi"/>
        </w:rPr>
        <w:t>)</w:t>
      </w:r>
    </w:p>
    <w:p w:rsidR="00C077C4" w:rsidRPr="008E2191" w:rsidRDefault="00C077C4" w:rsidP="00C077C4">
      <w:pPr>
        <w:pStyle w:val="Akapitzlist"/>
        <w:tabs>
          <w:tab w:val="left" w:pos="1800"/>
          <w:tab w:val="left" w:pos="2160"/>
        </w:tabs>
        <w:spacing w:line="276" w:lineRule="auto"/>
        <w:ind w:left="360" w:right="45"/>
        <w:jc w:val="both"/>
        <w:rPr>
          <w:rFonts w:eastAsia="Times New Roman" w:cstheme="minorHAnsi"/>
        </w:rPr>
      </w:pPr>
      <w:r w:rsidRPr="008E2191">
        <w:rPr>
          <w:rFonts w:cstheme="minorHAnsi"/>
        </w:rPr>
        <w:t xml:space="preserve">d) Rozporządzeniem Ministra Infrastruktury z dnia 18 maja 2004 r w sprawie określenia metod </w:t>
      </w:r>
      <w:r w:rsidR="00EE069B" w:rsidRPr="008E2191">
        <w:rPr>
          <w:rFonts w:cstheme="minorHAnsi"/>
        </w:rPr>
        <w:br/>
      </w:r>
      <w:r w:rsidRPr="008E2191">
        <w:rPr>
          <w:rFonts w:cstheme="minorHAnsi"/>
        </w:rPr>
        <w:t>i podstaw sporządzania kosztorysu inwestorskiego, obliczania planowanych  kosztów prac projektowych oraz planowanych kosztów robót budowlanych określonych w programie funkcjonalno-użytkowym (Dz.U. z 2004 r. nr 130, poz. 1389 ze zm.</w:t>
      </w:r>
      <w:r w:rsidR="004365DA" w:rsidRPr="008E2191">
        <w:rPr>
          <w:rFonts w:cstheme="minorHAnsi"/>
        </w:rPr>
        <w:t xml:space="preserve"> z </w:t>
      </w:r>
      <w:proofErr w:type="spellStart"/>
      <w:r w:rsidR="004365DA" w:rsidRPr="008E2191">
        <w:rPr>
          <w:rFonts w:cstheme="minorHAnsi"/>
        </w:rPr>
        <w:t>późn</w:t>
      </w:r>
      <w:proofErr w:type="spellEnd"/>
      <w:r w:rsidR="004365DA" w:rsidRPr="008E2191">
        <w:rPr>
          <w:rFonts w:cstheme="minorHAnsi"/>
        </w:rPr>
        <w:t>. zm.</w:t>
      </w:r>
      <w:r w:rsidRPr="008E2191">
        <w:rPr>
          <w:rFonts w:cstheme="minorHAnsi"/>
        </w:rPr>
        <w:t xml:space="preserve">) </w:t>
      </w:r>
    </w:p>
    <w:p w:rsidR="00C077C4" w:rsidRPr="008E2191" w:rsidRDefault="00C077C4" w:rsidP="00C077C4">
      <w:pPr>
        <w:pStyle w:val="Akapitzlist"/>
        <w:tabs>
          <w:tab w:val="left" w:pos="720"/>
        </w:tabs>
        <w:spacing w:line="276" w:lineRule="auto"/>
        <w:ind w:left="360" w:right="45"/>
        <w:jc w:val="both"/>
        <w:rPr>
          <w:rFonts w:eastAsia="Times New Roman" w:cstheme="minorHAnsi"/>
        </w:rPr>
      </w:pPr>
      <w:r w:rsidRPr="008E2191">
        <w:rPr>
          <w:rFonts w:cstheme="minorHAnsi"/>
        </w:rPr>
        <w:t>e) Rozporządzeniem Ministra Infrastruktury z dnia 3 lipca 2003r. w sprawie szczegółowego</w:t>
      </w:r>
      <w:r w:rsidRPr="008E2191">
        <w:rPr>
          <w:rFonts w:eastAsia="Times New Roman" w:cstheme="minorHAnsi"/>
        </w:rPr>
        <w:t xml:space="preserve"> </w:t>
      </w:r>
      <w:r w:rsidRPr="008E2191">
        <w:rPr>
          <w:rFonts w:cstheme="minorHAnsi"/>
        </w:rPr>
        <w:t xml:space="preserve">zakresu </w:t>
      </w:r>
      <w:r w:rsidR="00EE069B" w:rsidRPr="008E2191">
        <w:rPr>
          <w:rFonts w:cstheme="minorHAnsi"/>
        </w:rPr>
        <w:br/>
      </w:r>
      <w:r w:rsidRPr="008E2191">
        <w:rPr>
          <w:rFonts w:cstheme="minorHAnsi"/>
        </w:rPr>
        <w:t>i formy projektu budowlanego (tj. Dz. U. z dnia 10 lipca 2003r.)</w:t>
      </w:r>
    </w:p>
    <w:p w:rsidR="00C077C4" w:rsidRPr="008E2191" w:rsidRDefault="00C077C4" w:rsidP="00C077C4">
      <w:pPr>
        <w:pStyle w:val="Akapitzlist"/>
        <w:tabs>
          <w:tab w:val="left" w:pos="720"/>
        </w:tabs>
        <w:spacing w:line="276" w:lineRule="auto"/>
        <w:ind w:left="360" w:right="45"/>
        <w:jc w:val="both"/>
        <w:rPr>
          <w:rFonts w:eastAsia="Times New Roman" w:cstheme="minorHAnsi"/>
        </w:rPr>
      </w:pPr>
      <w:r w:rsidRPr="008E2191">
        <w:rPr>
          <w:rFonts w:cstheme="minorHAnsi"/>
        </w:rPr>
        <w:t xml:space="preserve">f) Rozporządzeniem Ministra Infrastruktury z dnia 12 kwietnia 2002r. w sprawie warunków </w:t>
      </w:r>
      <w:r w:rsidRPr="008E2191">
        <w:rPr>
          <w:rFonts w:eastAsia="Times New Roman" w:cstheme="minorHAnsi"/>
        </w:rPr>
        <w:t xml:space="preserve"> </w:t>
      </w:r>
      <w:r w:rsidRPr="008E2191">
        <w:rPr>
          <w:rFonts w:cstheme="minorHAnsi"/>
        </w:rPr>
        <w:t xml:space="preserve">technicznych, jakim powinny odpowiadać budynki i ich usytuowanie (Dz. U. z 2002r. Nr 75 poz. 690 </w:t>
      </w:r>
      <w:r w:rsidRPr="008E2191">
        <w:rPr>
          <w:rFonts w:eastAsia="Times New Roman" w:cstheme="minorHAnsi"/>
        </w:rPr>
        <w:br/>
      </w:r>
      <w:r w:rsidRPr="008E2191">
        <w:rPr>
          <w:rFonts w:cstheme="minorHAnsi"/>
        </w:rPr>
        <w:t xml:space="preserve">z </w:t>
      </w:r>
      <w:proofErr w:type="spellStart"/>
      <w:r w:rsidRPr="008E2191">
        <w:rPr>
          <w:rFonts w:cstheme="minorHAnsi"/>
        </w:rPr>
        <w:t>póź</w:t>
      </w:r>
      <w:r w:rsidR="004365DA" w:rsidRPr="008E2191">
        <w:rPr>
          <w:rFonts w:cstheme="minorHAnsi"/>
        </w:rPr>
        <w:t>n</w:t>
      </w:r>
      <w:proofErr w:type="spellEnd"/>
      <w:r w:rsidRPr="008E2191">
        <w:rPr>
          <w:rFonts w:cstheme="minorHAnsi"/>
        </w:rPr>
        <w:t>. zm.)</w:t>
      </w:r>
    </w:p>
    <w:p w:rsidR="00C077C4" w:rsidRPr="008E2191" w:rsidRDefault="00C077C4" w:rsidP="00C077C4">
      <w:pPr>
        <w:pStyle w:val="Akapitzlist"/>
        <w:tabs>
          <w:tab w:val="left" w:pos="2400"/>
          <w:tab w:val="left" w:pos="2760"/>
        </w:tabs>
        <w:spacing w:line="276" w:lineRule="auto"/>
        <w:ind w:left="360" w:right="45"/>
        <w:jc w:val="both"/>
        <w:rPr>
          <w:rFonts w:eastAsia="Times New Roman" w:cstheme="minorHAnsi"/>
          <w:bCs/>
        </w:rPr>
      </w:pPr>
      <w:r w:rsidRPr="008E2191">
        <w:rPr>
          <w:rFonts w:cstheme="minorHAnsi"/>
        </w:rPr>
        <w:t xml:space="preserve">g) </w:t>
      </w:r>
      <w:r w:rsidRPr="008E2191">
        <w:rPr>
          <w:rFonts w:cstheme="minorHAnsi"/>
          <w:bCs/>
        </w:rPr>
        <w:t>ustawa z dnia 10 kwietnia 2003 r. o szczególnych zasadach przygotowania i realizacji</w:t>
      </w:r>
      <w:r w:rsidRPr="008E2191">
        <w:rPr>
          <w:rFonts w:eastAsia="Times New Roman" w:cstheme="minorHAnsi"/>
          <w:bCs/>
        </w:rPr>
        <w:t xml:space="preserve"> </w:t>
      </w:r>
      <w:r w:rsidRPr="008E2191">
        <w:rPr>
          <w:rFonts w:cstheme="minorHAnsi"/>
          <w:bCs/>
        </w:rPr>
        <w:t xml:space="preserve">inwestycji </w:t>
      </w:r>
      <w:r w:rsidR="00EE069B" w:rsidRPr="008E2191">
        <w:rPr>
          <w:rFonts w:cstheme="minorHAnsi"/>
          <w:bCs/>
        </w:rPr>
        <w:br/>
      </w:r>
      <w:r w:rsidRPr="008E2191">
        <w:rPr>
          <w:rFonts w:cstheme="minorHAnsi"/>
          <w:bCs/>
        </w:rPr>
        <w:t xml:space="preserve">w </w:t>
      </w:r>
      <w:r w:rsidRPr="008E2191">
        <w:rPr>
          <w:rFonts w:eastAsia="Times New Roman" w:cstheme="minorHAnsi"/>
          <w:bCs/>
        </w:rPr>
        <w:t xml:space="preserve"> </w:t>
      </w:r>
      <w:r w:rsidRPr="008E2191">
        <w:rPr>
          <w:rFonts w:cstheme="minorHAnsi"/>
          <w:bCs/>
        </w:rPr>
        <w:t xml:space="preserve">zakresie dróg publicznych (Dz.U. z dnia 10 maja 2003 r. z </w:t>
      </w:r>
      <w:proofErr w:type="spellStart"/>
      <w:r w:rsidRPr="008E2191">
        <w:rPr>
          <w:rFonts w:cstheme="minorHAnsi"/>
          <w:bCs/>
        </w:rPr>
        <w:t>późn</w:t>
      </w:r>
      <w:proofErr w:type="spellEnd"/>
      <w:r w:rsidRPr="008E2191">
        <w:rPr>
          <w:rFonts w:cstheme="minorHAnsi"/>
          <w:bCs/>
        </w:rPr>
        <w:t xml:space="preserve">. </w:t>
      </w:r>
      <w:proofErr w:type="spellStart"/>
      <w:r w:rsidRPr="008E2191">
        <w:rPr>
          <w:rFonts w:cstheme="minorHAnsi"/>
          <w:bCs/>
        </w:rPr>
        <w:t>zm</w:t>
      </w:r>
      <w:proofErr w:type="spellEnd"/>
      <w:r w:rsidRPr="008E2191">
        <w:rPr>
          <w:rFonts w:cstheme="minorHAnsi"/>
          <w:bCs/>
        </w:rPr>
        <w:t>)</w:t>
      </w:r>
    </w:p>
    <w:p w:rsidR="00C077C4" w:rsidRPr="008E2191" w:rsidRDefault="00C077C4" w:rsidP="00C077C4">
      <w:pPr>
        <w:pStyle w:val="Akapitzlist"/>
        <w:tabs>
          <w:tab w:val="left" w:pos="2400"/>
          <w:tab w:val="left" w:pos="2760"/>
        </w:tabs>
        <w:spacing w:line="276" w:lineRule="auto"/>
        <w:ind w:left="360" w:right="45"/>
        <w:jc w:val="both"/>
        <w:rPr>
          <w:rFonts w:eastAsia="Times New Roman" w:cstheme="minorHAnsi"/>
        </w:rPr>
      </w:pPr>
      <w:r w:rsidRPr="008E2191">
        <w:rPr>
          <w:rFonts w:cstheme="minorHAnsi"/>
        </w:rPr>
        <w:t>h) Wytycznymi zawartymi w innych tematycznych przepisach szczegółowych i Polskich</w:t>
      </w:r>
      <w:r w:rsidRPr="008E2191">
        <w:rPr>
          <w:rFonts w:eastAsia="Times New Roman" w:cstheme="minorHAnsi"/>
        </w:rPr>
        <w:t xml:space="preserve"> </w:t>
      </w:r>
      <w:r w:rsidRPr="008E2191">
        <w:rPr>
          <w:rFonts w:cstheme="minorHAnsi"/>
        </w:rPr>
        <w:t xml:space="preserve">Normach oraz </w:t>
      </w:r>
    </w:p>
    <w:p w:rsidR="00D0420F" w:rsidRPr="008E2191" w:rsidRDefault="00C077C4" w:rsidP="000148AB">
      <w:pPr>
        <w:pStyle w:val="Akapitzlist"/>
        <w:tabs>
          <w:tab w:val="left" w:pos="2400"/>
          <w:tab w:val="left" w:pos="2760"/>
        </w:tabs>
        <w:spacing w:line="276" w:lineRule="auto"/>
        <w:ind w:left="360" w:right="45"/>
        <w:jc w:val="both"/>
        <w:rPr>
          <w:rFonts w:cstheme="minorHAnsi"/>
        </w:rPr>
      </w:pPr>
      <w:r w:rsidRPr="008E2191">
        <w:rPr>
          <w:rFonts w:eastAsia="Times New Roman" w:cstheme="minorHAnsi"/>
        </w:rPr>
        <w:t xml:space="preserve"> </w:t>
      </w:r>
      <w:r w:rsidRPr="008E2191">
        <w:rPr>
          <w:rFonts w:cstheme="minorHAnsi"/>
        </w:rPr>
        <w:t>zgodnie z zasadami wiedzy techniczno-budowlanej.</w:t>
      </w:r>
    </w:p>
    <w:p w:rsidR="00D0420F" w:rsidRPr="008E2191" w:rsidRDefault="00D0420F" w:rsidP="00D0420F">
      <w:pPr>
        <w:tabs>
          <w:tab w:val="left" w:pos="13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Times New Roman" w:hAnsi="Calibri" w:cs="Calibri"/>
          <w:lang w:eastAsia="pl-PL"/>
        </w:rPr>
      </w:pPr>
    </w:p>
    <w:p w:rsidR="00D0420F" w:rsidRPr="008E2191" w:rsidRDefault="00D0420F" w:rsidP="00D0420F">
      <w:pPr>
        <w:tabs>
          <w:tab w:val="left" w:pos="13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Times New Roman" w:hAnsi="Calibri" w:cs="Calibri"/>
          <w:b/>
          <w:lang w:eastAsia="pl-PL"/>
        </w:rPr>
      </w:pPr>
      <w:r w:rsidRPr="008E2191">
        <w:rPr>
          <w:rFonts w:ascii="Calibri" w:eastAsia="Times New Roman" w:hAnsi="Calibri" w:cs="Calibri"/>
          <w:b/>
          <w:lang w:eastAsia="pl-PL"/>
        </w:rPr>
        <w:t>Załączniki: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1 – zagospodarowanie terenu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2 –kondygnacja -1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3 – kondygnacja 1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4 – kondygnacja 2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5 –kondygnacja 3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6 – kondygnacja 4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7 –kondygnacja 5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8 –kondygnacja 6</w:t>
      </w:r>
    </w:p>
    <w:p w:rsidR="00D0420F" w:rsidRPr="008E2191" w:rsidRDefault="00D0420F" w:rsidP="00D0420F">
      <w:pPr>
        <w:numPr>
          <w:ilvl w:val="0"/>
          <w:numId w:val="3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E2191">
        <w:rPr>
          <w:rFonts w:ascii="Calibri" w:eastAsia="Times New Roman" w:hAnsi="Calibri" w:cs="Calibri"/>
          <w:lang w:eastAsia="pl-PL"/>
        </w:rPr>
        <w:t>załącznik 9 –przekrój</w:t>
      </w:r>
    </w:p>
    <w:p w:rsidR="00420427" w:rsidRPr="000148AB" w:rsidRDefault="00420427" w:rsidP="00420427">
      <w:pPr>
        <w:spacing w:after="0" w:line="240" w:lineRule="auto"/>
        <w:rPr>
          <w:rFonts w:ascii="Cambria" w:eastAsia="Times New Roman" w:hAnsi="Cambria" w:cs="Tahoma"/>
          <w:lang w:eastAsia="pl-PL"/>
        </w:rPr>
      </w:pPr>
    </w:p>
    <w:p w:rsidR="00B13E06" w:rsidRPr="00483326" w:rsidRDefault="00B13E06" w:rsidP="00CF2448"/>
    <w:sectPr w:rsidR="00B13E06" w:rsidRPr="00483326" w:rsidSect="00BA3BBB">
      <w:headerReference w:type="default" r:id="rId10"/>
      <w:footerReference w:type="default" r:id="rId11"/>
      <w:pgSz w:w="11906" w:h="16838"/>
      <w:pgMar w:top="212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ECB" w:rsidRDefault="007C0ECB" w:rsidP="00013907">
      <w:pPr>
        <w:spacing w:after="0" w:line="240" w:lineRule="auto"/>
      </w:pPr>
      <w:r>
        <w:separator/>
      </w:r>
    </w:p>
  </w:endnote>
  <w:endnote w:type="continuationSeparator" w:id="0">
    <w:p w:rsidR="007C0ECB" w:rsidRDefault="007C0E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057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ECB" w:rsidRDefault="007C0ECB" w:rsidP="00013907">
      <w:pPr>
        <w:spacing w:after="0" w:line="240" w:lineRule="auto"/>
      </w:pPr>
      <w:r>
        <w:separator/>
      </w:r>
    </w:p>
  </w:footnote>
  <w:footnote w:type="continuationSeparator" w:id="0">
    <w:p w:rsidR="007C0ECB" w:rsidRDefault="007C0E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E2191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75778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Kielecki Park Technologiczny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ul. Olszewskiego 6, 25-663 Kielce</w:t>
                </w:r>
              </w:p>
            </w:txbxContent>
          </v:textbox>
          <w10:wrap type="square"/>
        </v:shape>
      </w:pict>
    </w:r>
    <w:r w:rsidR="008E2191">
      <w:rPr>
        <w:noProof/>
        <w:lang w:eastAsia="pl-PL"/>
      </w:rPr>
      <w:pict>
        <v:shape id="_x0000_s7577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<v:textbox>
            <w:txbxContent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t. 41 278 72 00, f. 41 278 72 01</w:t>
                </w:r>
              </w:p>
              <w:p w:rsidR="001872B4" w:rsidRPr="001872B4" w:rsidRDefault="001872B4" w:rsidP="001872B4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1872B4">
                  <w:rPr>
                    <w:sz w:val="18"/>
                    <w:szCs w:val="18"/>
                  </w:rPr>
                  <w:t>biuro@technopark.kielce.pl</w:t>
                </w:r>
              </w:p>
            </w:txbxContent>
          </v:textbox>
          <w10:wrap type="square"/>
        </v:shape>
      </w:pic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0741BB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9BD4402"/>
    <w:multiLevelType w:val="hybridMultilevel"/>
    <w:tmpl w:val="C7DE0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75179B"/>
    <w:multiLevelType w:val="hybridMultilevel"/>
    <w:tmpl w:val="9ADA3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A41CB"/>
    <w:multiLevelType w:val="hybridMultilevel"/>
    <w:tmpl w:val="725EF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61E51"/>
    <w:multiLevelType w:val="hybridMultilevel"/>
    <w:tmpl w:val="259C178C"/>
    <w:lvl w:ilvl="0" w:tplc="BF387928">
      <w:start w:val="9"/>
      <w:numFmt w:val="decimal"/>
      <w:lvlText w:val="%1."/>
      <w:lvlJc w:val="left"/>
      <w:pPr>
        <w:ind w:left="72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5385F"/>
    <w:multiLevelType w:val="hybridMultilevel"/>
    <w:tmpl w:val="A422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77689"/>
    <w:multiLevelType w:val="hybridMultilevel"/>
    <w:tmpl w:val="A22AA942"/>
    <w:lvl w:ilvl="0" w:tplc="3E06B538">
      <w:numFmt w:val="bullet"/>
      <w:lvlText w:val="•"/>
      <w:lvlJc w:val="left"/>
      <w:pPr>
        <w:ind w:left="1004" w:hanging="720"/>
      </w:pPr>
      <w:rPr>
        <w:rFonts w:ascii="Calibri" w:eastAsia="Arial Unicode MS" w:hAnsi="Calibri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47D59"/>
    <w:multiLevelType w:val="hybridMultilevel"/>
    <w:tmpl w:val="1240688E"/>
    <w:lvl w:ilvl="0" w:tplc="90A4654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80"/>
    <o:shapelayout v:ext="edit">
      <o:idmap v:ext="edit" data="7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044B9"/>
    <w:rsid w:val="00004742"/>
    <w:rsid w:val="00013907"/>
    <w:rsid w:val="000148AB"/>
    <w:rsid w:val="00015F25"/>
    <w:rsid w:val="00053B2B"/>
    <w:rsid w:val="000A4F0D"/>
    <w:rsid w:val="000A699F"/>
    <w:rsid w:val="000D0BB0"/>
    <w:rsid w:val="00103C60"/>
    <w:rsid w:val="00120007"/>
    <w:rsid w:val="00120E63"/>
    <w:rsid w:val="00136549"/>
    <w:rsid w:val="001470D6"/>
    <w:rsid w:val="001872B4"/>
    <w:rsid w:val="00215FEF"/>
    <w:rsid w:val="0021787E"/>
    <w:rsid w:val="00291BC9"/>
    <w:rsid w:val="00295A36"/>
    <w:rsid w:val="0029703E"/>
    <w:rsid w:val="002D1E7C"/>
    <w:rsid w:val="002F1F64"/>
    <w:rsid w:val="002F37D2"/>
    <w:rsid w:val="002F7C45"/>
    <w:rsid w:val="003066CE"/>
    <w:rsid w:val="00337E63"/>
    <w:rsid w:val="00346E7F"/>
    <w:rsid w:val="00350552"/>
    <w:rsid w:val="003B0534"/>
    <w:rsid w:val="003F13E6"/>
    <w:rsid w:val="003F7E64"/>
    <w:rsid w:val="00420427"/>
    <w:rsid w:val="004365DA"/>
    <w:rsid w:val="00483326"/>
    <w:rsid w:val="004E4B88"/>
    <w:rsid w:val="00500951"/>
    <w:rsid w:val="00530311"/>
    <w:rsid w:val="0054724D"/>
    <w:rsid w:val="0058063A"/>
    <w:rsid w:val="005E646A"/>
    <w:rsid w:val="005E6617"/>
    <w:rsid w:val="00631DF3"/>
    <w:rsid w:val="00637D2C"/>
    <w:rsid w:val="006572D5"/>
    <w:rsid w:val="0066075A"/>
    <w:rsid w:val="006A37F9"/>
    <w:rsid w:val="006D6F20"/>
    <w:rsid w:val="007034B6"/>
    <w:rsid w:val="00712D4F"/>
    <w:rsid w:val="007314F1"/>
    <w:rsid w:val="00732327"/>
    <w:rsid w:val="00733884"/>
    <w:rsid w:val="007919B7"/>
    <w:rsid w:val="007B2DC8"/>
    <w:rsid w:val="007C0ECB"/>
    <w:rsid w:val="00807EDA"/>
    <w:rsid w:val="008143B8"/>
    <w:rsid w:val="00822336"/>
    <w:rsid w:val="00836A4C"/>
    <w:rsid w:val="00837C66"/>
    <w:rsid w:val="0084750F"/>
    <w:rsid w:val="00851D6D"/>
    <w:rsid w:val="0088010F"/>
    <w:rsid w:val="008E2191"/>
    <w:rsid w:val="008F3A77"/>
    <w:rsid w:val="008F3CB1"/>
    <w:rsid w:val="00900E2F"/>
    <w:rsid w:val="00933778"/>
    <w:rsid w:val="00933B0D"/>
    <w:rsid w:val="00964B25"/>
    <w:rsid w:val="00984C70"/>
    <w:rsid w:val="009A3B76"/>
    <w:rsid w:val="009C218C"/>
    <w:rsid w:val="009D6C35"/>
    <w:rsid w:val="009E44FE"/>
    <w:rsid w:val="00A962F5"/>
    <w:rsid w:val="00AD537D"/>
    <w:rsid w:val="00AF368D"/>
    <w:rsid w:val="00B13E06"/>
    <w:rsid w:val="00B2220F"/>
    <w:rsid w:val="00B54FC1"/>
    <w:rsid w:val="00BA3BBB"/>
    <w:rsid w:val="00BB32C2"/>
    <w:rsid w:val="00BC5E7B"/>
    <w:rsid w:val="00C02B90"/>
    <w:rsid w:val="00C03310"/>
    <w:rsid w:val="00C077C4"/>
    <w:rsid w:val="00C303FA"/>
    <w:rsid w:val="00C5479D"/>
    <w:rsid w:val="00C93C36"/>
    <w:rsid w:val="00CA3C48"/>
    <w:rsid w:val="00CD2403"/>
    <w:rsid w:val="00CF2448"/>
    <w:rsid w:val="00D02D19"/>
    <w:rsid w:val="00D0420F"/>
    <w:rsid w:val="00D04AE7"/>
    <w:rsid w:val="00D41BD2"/>
    <w:rsid w:val="00DA586E"/>
    <w:rsid w:val="00DB17AE"/>
    <w:rsid w:val="00DB552A"/>
    <w:rsid w:val="00DF50DE"/>
    <w:rsid w:val="00E24886"/>
    <w:rsid w:val="00E66579"/>
    <w:rsid w:val="00E75999"/>
    <w:rsid w:val="00E95661"/>
    <w:rsid w:val="00ED703E"/>
    <w:rsid w:val="00EE069B"/>
    <w:rsid w:val="00EF2DD7"/>
    <w:rsid w:val="00F3530E"/>
    <w:rsid w:val="00F65734"/>
    <w:rsid w:val="00FF2E4D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rsid w:val="007314F1"/>
    <w:rPr>
      <w:b/>
      <w:bCs/>
      <w:shd w:val="clear" w:color="auto" w:fill="FFFFFF"/>
    </w:rPr>
  </w:style>
  <w:style w:type="character" w:customStyle="1" w:styleId="Teksttreci4">
    <w:name w:val="Tekst treści (4)_"/>
    <w:link w:val="Teksttreci40"/>
    <w:rsid w:val="007314F1"/>
    <w:rPr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7314F1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314F1"/>
    <w:pPr>
      <w:widowControl w:val="0"/>
      <w:shd w:val="clear" w:color="auto" w:fill="FFFFFF"/>
      <w:spacing w:before="540" w:after="0" w:line="410" w:lineRule="exact"/>
      <w:outlineLvl w:val="1"/>
    </w:pPr>
    <w:rPr>
      <w:b/>
      <w:bCs/>
    </w:rPr>
  </w:style>
  <w:style w:type="paragraph" w:customStyle="1" w:styleId="Teksttreci40">
    <w:name w:val="Tekst treści (4)"/>
    <w:basedOn w:val="Normalny"/>
    <w:link w:val="Teksttreci4"/>
    <w:rsid w:val="007314F1"/>
    <w:pPr>
      <w:widowControl w:val="0"/>
      <w:shd w:val="clear" w:color="auto" w:fill="FFFFFF"/>
      <w:spacing w:after="0" w:line="410" w:lineRule="exact"/>
      <w:jc w:val="both"/>
    </w:pPr>
    <w:rPr>
      <w:b/>
      <w:bCs/>
    </w:rPr>
  </w:style>
  <w:style w:type="paragraph" w:customStyle="1" w:styleId="Teksttreci20">
    <w:name w:val="Tekst treści (2)"/>
    <w:basedOn w:val="Normalny"/>
    <w:link w:val="Teksttreci2"/>
    <w:rsid w:val="007314F1"/>
    <w:pPr>
      <w:widowControl w:val="0"/>
      <w:shd w:val="clear" w:color="auto" w:fill="FFFFFF"/>
      <w:spacing w:after="0" w:line="410" w:lineRule="exact"/>
      <w:ind w:hanging="300"/>
      <w:jc w:val="both"/>
    </w:pPr>
  </w:style>
  <w:style w:type="character" w:styleId="Pogrubienie">
    <w:name w:val="Strong"/>
    <w:basedOn w:val="Domylnaczcionkaakapitu"/>
    <w:uiPriority w:val="22"/>
    <w:qFormat/>
    <w:rsid w:val="00120007"/>
    <w:rPr>
      <w:b/>
      <w:bCs/>
    </w:rPr>
  </w:style>
  <w:style w:type="paragraph" w:customStyle="1" w:styleId="default0">
    <w:name w:val="default"/>
    <w:basedOn w:val="Normalny"/>
    <w:rsid w:val="00E6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4AE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0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E2F"/>
    <w:rPr>
      <w:b/>
      <w:bCs/>
      <w:sz w:val="20"/>
      <w:szCs w:val="20"/>
    </w:rPr>
  </w:style>
  <w:style w:type="paragraph" w:styleId="Listapunktowana">
    <w:name w:val="List Bullet"/>
    <w:basedOn w:val="Normalny"/>
    <w:rsid w:val="00EF2DD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17AE"/>
    <w:rPr>
      <w:color w:val="808080"/>
      <w:shd w:val="clear" w:color="auto" w:fill="E6E6E6"/>
    </w:rPr>
  </w:style>
  <w:style w:type="paragraph" w:styleId="Bezodstpw">
    <w:name w:val="No Spacing"/>
    <w:uiPriority w:val="99"/>
    <w:qFormat/>
    <w:rsid w:val="004204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0044B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0044B9"/>
    <w:rPr>
      <w:rFonts w:ascii="Garamond" w:eastAsia="Times New Roman" w:hAnsi="Garamond" w:cs="Times New Roman"/>
      <w:b/>
      <w:bCs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B2DC8"/>
    <w:rPr>
      <w:color w:val="808080"/>
      <w:shd w:val="clear" w:color="auto" w:fill="E6E6E6"/>
    </w:rPr>
  </w:style>
  <w:style w:type="paragraph" w:customStyle="1" w:styleId="Tekstpodstawowy21">
    <w:name w:val="Tekst podstawowy 21"/>
    <w:basedOn w:val="Normalny"/>
    <w:rsid w:val="00C077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echnopark.kielce.pl/pl/co_oferuje_park/wynajem_powierzchni/orange_inc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E3CA9-ABE5-4D1E-A1C4-1817B5918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3619</Words>
  <Characters>21718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Emilia Siwek</cp:lastModifiedBy>
  <cp:revision>14</cp:revision>
  <cp:lastPrinted>2017-12-15T09:48:00Z</cp:lastPrinted>
  <dcterms:created xsi:type="dcterms:W3CDTF">2017-12-15T10:21:00Z</dcterms:created>
  <dcterms:modified xsi:type="dcterms:W3CDTF">2018-01-08T13:35:00Z</dcterms:modified>
</cp:coreProperties>
</file>