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13CFD3DE" w:rsidR="00894B73" w:rsidRPr="00894B73" w:rsidRDefault="00F642B4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KPT-DZI.725.9.2023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2BBF250B" w14:textId="138450A2" w:rsidR="00B55365" w:rsidRPr="00785440" w:rsidRDefault="003662F5" w:rsidP="00B55365">
      <w:pPr>
        <w:widowControl w:val="0"/>
        <w:autoSpaceDE w:val="0"/>
        <w:autoSpaceDN w:val="0"/>
        <w:spacing w:before="238" w:after="0" w:line="201" w:lineRule="auto"/>
        <w:ind w:right="130"/>
        <w:jc w:val="both"/>
        <w:outlineLvl w:val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Moduł H</w:t>
      </w:r>
      <w:r w:rsidR="00B55365" w:rsidRPr="00785440">
        <w:rPr>
          <w:rFonts w:cs="Calibri"/>
          <w:b/>
          <w:bCs/>
          <w:sz w:val="20"/>
          <w:szCs w:val="20"/>
        </w:rPr>
        <w:t xml:space="preserve"> –</w:t>
      </w:r>
      <w:r w:rsidR="00AC38AA"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o łącznej powierzchni 392,00</w:t>
      </w:r>
      <w:r w:rsidR="00B55365" w:rsidRPr="00785440">
        <w:rPr>
          <w:rFonts w:cs="Calibri"/>
          <w:b/>
          <w:bCs/>
          <w:sz w:val="20"/>
          <w:szCs w:val="20"/>
        </w:rPr>
        <w:t xml:space="preserve"> m²</w:t>
      </w:r>
      <w:r w:rsidR="00B55365" w:rsidRPr="00785440">
        <w:rPr>
          <w:rFonts w:cs="Calibri"/>
          <w:b/>
          <w:bCs/>
          <w:spacing w:val="40"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 xml:space="preserve">zlokalizowany w </w:t>
      </w:r>
      <w:r w:rsidRPr="003662F5">
        <w:rPr>
          <w:rFonts w:cs="Calibri"/>
          <w:b/>
          <w:bCs/>
          <w:sz w:val="20"/>
          <w:szCs w:val="20"/>
        </w:rPr>
        <w:t>budynku</w:t>
      </w:r>
      <w:r>
        <w:rPr>
          <w:rFonts w:cs="Calibri"/>
          <w:b/>
          <w:bCs/>
          <w:sz w:val="20"/>
          <w:szCs w:val="20"/>
        </w:rPr>
        <w:t xml:space="preserve"> </w:t>
      </w:r>
      <w:r w:rsidRPr="003662F5">
        <w:rPr>
          <w:rFonts w:cs="Calibri"/>
          <w:b/>
          <w:bCs/>
          <w:sz w:val="20"/>
          <w:szCs w:val="20"/>
        </w:rPr>
        <w:t xml:space="preserve"> </w:t>
      </w:r>
      <w:proofErr w:type="spellStart"/>
      <w:r w:rsidRPr="003662F5">
        <w:rPr>
          <w:rFonts w:cs="Calibri"/>
          <w:b/>
          <w:bCs/>
          <w:sz w:val="20"/>
          <w:szCs w:val="20"/>
        </w:rPr>
        <w:t>laboratoryjno</w:t>
      </w:r>
      <w:proofErr w:type="spellEnd"/>
      <w:r w:rsidRPr="003662F5">
        <w:rPr>
          <w:rFonts w:cs="Calibri"/>
          <w:b/>
          <w:bCs/>
          <w:sz w:val="20"/>
          <w:szCs w:val="20"/>
        </w:rPr>
        <w:t xml:space="preserve"> – </w:t>
      </w:r>
      <w:r>
        <w:rPr>
          <w:rFonts w:cs="Calibri"/>
          <w:b/>
          <w:bCs/>
          <w:sz w:val="20"/>
          <w:szCs w:val="20"/>
        </w:rPr>
        <w:t>produkcyjnym</w:t>
      </w:r>
      <w:r w:rsidRPr="003662F5">
        <w:rPr>
          <w:rFonts w:cs="Calibri"/>
          <w:b/>
          <w:bCs/>
          <w:sz w:val="20"/>
          <w:szCs w:val="20"/>
        </w:rPr>
        <w:t xml:space="preserve"> OULU o łącznej powierzchni użytkowej 4 245,62 m², położonego w Kielcach przy ul. Olszewskiego 21.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677FDDC0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F642B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  <w:bookmarkStart w:id="0" w:name="_GoBack"/>
    </w:p>
    <w:bookmarkEnd w:id="0"/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642B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642B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F642B4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F642B4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CC4063"/>
    <w:rsid w:val="00D02D19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E4FC2-ACF8-4475-8AFD-35278438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11</cp:revision>
  <cp:lastPrinted>2017-12-18T13:05:00Z</cp:lastPrinted>
  <dcterms:created xsi:type="dcterms:W3CDTF">2022-05-16T09:20:00Z</dcterms:created>
  <dcterms:modified xsi:type="dcterms:W3CDTF">2023-10-04T06:34:00Z</dcterms:modified>
</cp:coreProperties>
</file>