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03D5" w:rsidRDefault="009D23A7" w:rsidP="00234084">
      <w:pPr>
        <w:spacing w:after="0" w:line="240" w:lineRule="auto"/>
        <w:jc w:val="both"/>
        <w:rPr>
          <w:rFonts w:eastAsia="Times New Roman" w:cstheme="minorHAnsi"/>
          <w:b/>
          <w:iCs/>
          <w:lang w:eastAsia="pl-PL"/>
        </w:rPr>
      </w:pPr>
      <w:bookmarkStart w:id="0" w:name="_GoBack"/>
      <w:bookmarkEnd w:id="0"/>
      <w:r w:rsidRPr="009D23A7">
        <w:rPr>
          <w:rFonts w:eastAsia="Times New Roman" w:cstheme="minorHAnsi"/>
          <w:b/>
          <w:iCs/>
          <w:lang w:eastAsia="pl-PL"/>
        </w:rPr>
        <w:t>KPT-</w:t>
      </w:r>
      <w:r w:rsidR="00122E2F">
        <w:rPr>
          <w:rFonts w:eastAsia="Times New Roman" w:cstheme="minorHAnsi"/>
          <w:b/>
          <w:iCs/>
          <w:lang w:eastAsia="pl-PL"/>
        </w:rPr>
        <w:t>DZI.270.1.2021</w:t>
      </w:r>
    </w:p>
    <w:p w:rsidR="00234084" w:rsidRPr="00D16654" w:rsidRDefault="00234084" w:rsidP="00A503D5">
      <w:pPr>
        <w:pStyle w:val="Nagwek1"/>
      </w:pPr>
      <w:r w:rsidRPr="00D16654">
        <w:t xml:space="preserve">Załącznik nr 1 </w:t>
      </w:r>
      <w:r>
        <w:t xml:space="preserve">do SWZ- </w:t>
      </w:r>
      <w:r w:rsidRPr="00D16654">
        <w:t>Opis przedmiotu zamówienia</w:t>
      </w:r>
    </w:p>
    <w:p w:rsidR="00234084" w:rsidRPr="0050758E" w:rsidRDefault="00234084" w:rsidP="00234084">
      <w:pPr>
        <w:rPr>
          <w:rFonts w:cstheme="minorHAnsi"/>
          <w:sz w:val="24"/>
          <w:szCs w:val="24"/>
        </w:rPr>
      </w:pPr>
    </w:p>
    <w:p w:rsidR="00CA3DAE" w:rsidRDefault="00234084" w:rsidP="004F679E">
      <w:pPr>
        <w:tabs>
          <w:tab w:val="left" w:pos="2955"/>
        </w:tabs>
      </w:pPr>
      <w:r w:rsidRPr="0050758E">
        <w:rPr>
          <w:rFonts w:cstheme="minorHAnsi"/>
          <w:sz w:val="24"/>
          <w:szCs w:val="24"/>
        </w:rPr>
        <w:tab/>
      </w:r>
    </w:p>
    <w:p w:rsidR="004F679E" w:rsidRPr="00124AA9" w:rsidRDefault="004F679E" w:rsidP="004F679E">
      <w:pPr>
        <w:autoSpaceDE w:val="0"/>
        <w:autoSpaceDN w:val="0"/>
        <w:adjustRightInd w:val="0"/>
        <w:spacing w:after="0" w:line="276" w:lineRule="auto"/>
        <w:ind w:left="284" w:right="282"/>
        <w:jc w:val="both"/>
        <w:rPr>
          <w:rFonts w:cs="Calibri"/>
          <w:bCs/>
          <w:color w:val="000000"/>
        </w:rPr>
      </w:pPr>
    </w:p>
    <w:p w:rsidR="004F679E" w:rsidRPr="00124AA9" w:rsidRDefault="004F679E" w:rsidP="004F679E">
      <w:pPr>
        <w:ind w:left="284" w:right="282"/>
        <w:jc w:val="center"/>
        <w:rPr>
          <w:rFonts w:cs="Arial"/>
          <w:b/>
        </w:rPr>
      </w:pPr>
      <w:r w:rsidRPr="00124AA9">
        <w:rPr>
          <w:rFonts w:cs="Arial"/>
          <w:b/>
        </w:rPr>
        <w:t>Opis przedmiotu zamówienia</w:t>
      </w:r>
    </w:p>
    <w:p w:rsidR="004F679E" w:rsidRPr="00124AA9" w:rsidRDefault="004F679E" w:rsidP="004F679E">
      <w:pPr>
        <w:spacing w:line="276" w:lineRule="auto"/>
        <w:ind w:left="284" w:right="282"/>
        <w:jc w:val="center"/>
      </w:pPr>
      <w:r w:rsidRPr="00124AA9">
        <w:rPr>
          <w:highlight w:val="lightGray"/>
        </w:rPr>
        <w:t xml:space="preserve">„Świadczenie usług wykonywania okresowych przeglądów konserwacyjnych i serwisowych oraz bieżącej obsługi technicznej wraz z zapewnieniem pogotowia technicznego w celu utrzymania </w:t>
      </w:r>
      <w:r w:rsidRPr="00124AA9">
        <w:rPr>
          <w:highlight w:val="lightGray"/>
        </w:rPr>
        <w:br/>
        <w:t>w sprawności całodobowo infrastruktury obiektów Kieleckiego Parku Technologicznego”.</w:t>
      </w:r>
    </w:p>
    <w:p w:rsidR="004F679E" w:rsidRPr="00124AA9" w:rsidRDefault="004F679E" w:rsidP="004F679E">
      <w:pPr>
        <w:spacing w:line="276" w:lineRule="auto"/>
        <w:ind w:left="284" w:right="282"/>
        <w:jc w:val="both"/>
        <w:rPr>
          <w:b/>
        </w:rPr>
      </w:pPr>
      <w:r w:rsidRPr="00124AA9">
        <w:rPr>
          <w:b/>
        </w:rPr>
        <w:t xml:space="preserve">Przedmiotem zamówienia jest wykonywanie usługi polegającej na wykonywaniu okresowych przeglądów konserwacyjnych i serwisowych oraz bieżącej obsługi technicznej wraz z zapewnieniem Pogotowia Technicznego celem utrzymania w sprawności całodobowo przez okres trwania umowy instalacji: </w:t>
      </w:r>
    </w:p>
    <w:p w:rsidR="004F679E" w:rsidRPr="00124AA9" w:rsidRDefault="004F679E" w:rsidP="004F679E">
      <w:pPr>
        <w:numPr>
          <w:ilvl w:val="0"/>
          <w:numId w:val="24"/>
        </w:numPr>
        <w:tabs>
          <w:tab w:val="clear" w:pos="567"/>
          <w:tab w:val="num" w:pos="426"/>
        </w:tabs>
        <w:spacing w:after="0" w:line="276" w:lineRule="auto"/>
        <w:ind w:left="709" w:right="282" w:hanging="425"/>
        <w:jc w:val="both"/>
      </w:pPr>
      <w:r w:rsidRPr="00124AA9">
        <w:t>sanitarnych, tj. instalacje wody zimnej, instalacje ciepłej wody użytkowej, instalacje centralnego ogrzewania ( w tym pompy ciepła) i instalacje kanalizacyjne,</w:t>
      </w:r>
    </w:p>
    <w:p w:rsidR="004F679E" w:rsidRPr="00124AA9" w:rsidRDefault="004F679E" w:rsidP="004F679E">
      <w:pPr>
        <w:numPr>
          <w:ilvl w:val="0"/>
          <w:numId w:val="24"/>
        </w:numPr>
        <w:tabs>
          <w:tab w:val="clear" w:pos="567"/>
          <w:tab w:val="num" w:pos="426"/>
        </w:tabs>
        <w:spacing w:after="0" w:line="276" w:lineRule="auto"/>
        <w:ind w:left="284" w:right="282" w:firstLine="0"/>
        <w:jc w:val="both"/>
      </w:pPr>
      <w:r w:rsidRPr="00124AA9">
        <w:t>instalacje solarne,</w:t>
      </w:r>
    </w:p>
    <w:p w:rsidR="004F679E" w:rsidRPr="00124AA9" w:rsidRDefault="004F679E" w:rsidP="004F679E">
      <w:pPr>
        <w:numPr>
          <w:ilvl w:val="0"/>
          <w:numId w:val="24"/>
        </w:numPr>
        <w:tabs>
          <w:tab w:val="clear" w:pos="567"/>
          <w:tab w:val="num" w:pos="426"/>
        </w:tabs>
        <w:spacing w:after="0" w:line="276" w:lineRule="auto"/>
        <w:ind w:left="284" w:right="282" w:firstLine="0"/>
        <w:jc w:val="both"/>
      </w:pPr>
      <w:r w:rsidRPr="00124AA9">
        <w:t xml:space="preserve">wentylacji mechanicznej </w:t>
      </w:r>
      <w:proofErr w:type="spellStart"/>
      <w:r w:rsidRPr="00124AA9">
        <w:t>nawiewno</w:t>
      </w:r>
      <w:proofErr w:type="spellEnd"/>
      <w:r w:rsidRPr="00124AA9">
        <w:t>-wywiewnej oraz klimatyzacji,</w:t>
      </w:r>
    </w:p>
    <w:p w:rsidR="004F679E" w:rsidRPr="00124AA9" w:rsidRDefault="004F679E" w:rsidP="004F679E">
      <w:pPr>
        <w:numPr>
          <w:ilvl w:val="0"/>
          <w:numId w:val="24"/>
        </w:numPr>
        <w:tabs>
          <w:tab w:val="clear" w:pos="567"/>
          <w:tab w:val="num" w:pos="426"/>
        </w:tabs>
        <w:spacing w:after="0" w:line="276" w:lineRule="auto"/>
        <w:ind w:left="284" w:right="282" w:firstLine="0"/>
        <w:jc w:val="both"/>
      </w:pPr>
      <w:r w:rsidRPr="00124AA9">
        <w:t xml:space="preserve">instalacji gazowej, </w:t>
      </w:r>
    </w:p>
    <w:p w:rsidR="004F679E" w:rsidRPr="00124AA9" w:rsidRDefault="004F679E" w:rsidP="004F679E">
      <w:pPr>
        <w:numPr>
          <w:ilvl w:val="0"/>
          <w:numId w:val="24"/>
        </w:numPr>
        <w:tabs>
          <w:tab w:val="clear" w:pos="567"/>
          <w:tab w:val="num" w:pos="426"/>
        </w:tabs>
        <w:spacing w:after="0" w:line="276" w:lineRule="auto"/>
        <w:ind w:left="284" w:right="282" w:firstLine="0"/>
        <w:jc w:val="both"/>
      </w:pPr>
      <w:r w:rsidRPr="00124AA9">
        <w:t>instalacji i sieci elektrycznych oraz urządzeń elektrycznych wewnętrznych i zewnętrznych,</w:t>
      </w:r>
    </w:p>
    <w:p w:rsidR="004F679E" w:rsidRPr="00124AA9" w:rsidRDefault="004F679E" w:rsidP="004F679E">
      <w:pPr>
        <w:numPr>
          <w:ilvl w:val="0"/>
          <w:numId w:val="24"/>
        </w:numPr>
        <w:tabs>
          <w:tab w:val="clear" w:pos="567"/>
          <w:tab w:val="num" w:pos="426"/>
        </w:tabs>
        <w:spacing w:after="0" w:line="276" w:lineRule="auto"/>
        <w:ind w:left="709" w:right="282" w:hanging="425"/>
        <w:jc w:val="both"/>
      </w:pPr>
      <w:r w:rsidRPr="00124AA9">
        <w:t>instalacje teletechniczne tj.: systemu gaszenia pożaru gazem, systemy sygnalizacji pożaru, systemy oddymiania, system sygnalizacji włamania i napadu, system kontroli dostępu, system telewizji dozorowej,</w:t>
      </w:r>
    </w:p>
    <w:p w:rsidR="004F679E" w:rsidRPr="00124AA9" w:rsidRDefault="004F679E" w:rsidP="004F679E">
      <w:pPr>
        <w:numPr>
          <w:ilvl w:val="0"/>
          <w:numId w:val="24"/>
        </w:numPr>
        <w:tabs>
          <w:tab w:val="clear" w:pos="567"/>
          <w:tab w:val="num" w:pos="426"/>
        </w:tabs>
        <w:spacing w:after="0" w:line="276" w:lineRule="auto"/>
        <w:ind w:left="284" w:right="282" w:firstLine="0"/>
        <w:jc w:val="both"/>
      </w:pPr>
      <w:r w:rsidRPr="00124AA9">
        <w:t>instalacji bram i szlabanów wraz z automatyką sterującą,</w:t>
      </w:r>
    </w:p>
    <w:p w:rsidR="004F679E" w:rsidRPr="00124AA9" w:rsidRDefault="004F679E" w:rsidP="004F679E">
      <w:pPr>
        <w:numPr>
          <w:ilvl w:val="0"/>
          <w:numId w:val="24"/>
        </w:numPr>
        <w:tabs>
          <w:tab w:val="clear" w:pos="567"/>
          <w:tab w:val="num" w:pos="426"/>
        </w:tabs>
        <w:spacing w:after="0" w:line="276" w:lineRule="auto"/>
        <w:ind w:left="284" w:right="282" w:firstLine="0"/>
        <w:jc w:val="both"/>
      </w:pPr>
      <w:r w:rsidRPr="00124AA9">
        <w:t>instalacje fotowoltaiczne</w:t>
      </w:r>
    </w:p>
    <w:p w:rsidR="004F679E" w:rsidRPr="00124AA9" w:rsidRDefault="004F679E" w:rsidP="004F679E">
      <w:pPr>
        <w:spacing w:after="0" w:line="276" w:lineRule="auto"/>
        <w:ind w:left="284" w:right="282"/>
        <w:jc w:val="both"/>
      </w:pPr>
    </w:p>
    <w:p w:rsidR="004F679E" w:rsidRPr="00124AA9" w:rsidRDefault="004F679E" w:rsidP="004F679E">
      <w:pPr>
        <w:spacing w:line="276" w:lineRule="auto"/>
        <w:ind w:left="284" w:right="282"/>
        <w:jc w:val="both"/>
        <w:rPr>
          <w:b/>
        </w:rPr>
      </w:pPr>
      <w:r w:rsidRPr="00124AA9">
        <w:rPr>
          <w:b/>
        </w:rPr>
        <w:t>w budynkach Kieleckiego Parku Technologicznego:</w:t>
      </w:r>
    </w:p>
    <w:p w:rsidR="004F679E" w:rsidRPr="00124AA9" w:rsidRDefault="004F679E" w:rsidP="004F679E">
      <w:pPr>
        <w:numPr>
          <w:ilvl w:val="0"/>
          <w:numId w:val="25"/>
        </w:numPr>
        <w:tabs>
          <w:tab w:val="num" w:pos="709"/>
        </w:tabs>
        <w:spacing w:after="0" w:line="276" w:lineRule="auto"/>
        <w:ind w:left="709" w:right="282" w:hanging="425"/>
        <w:contextualSpacing/>
        <w:jc w:val="both"/>
        <w:rPr>
          <w:rFonts w:eastAsia="Times New Roman"/>
          <w:lang w:eastAsia="pl-PL"/>
        </w:rPr>
      </w:pPr>
      <w:r w:rsidRPr="00124AA9">
        <w:rPr>
          <w:rFonts w:eastAsia="Times New Roman"/>
          <w:lang w:eastAsia="pl-PL"/>
        </w:rPr>
        <w:t>Inkubator Technologiczny ORANGE INC zlokalizowany w Kielcach, przy ulicy Karola Olszewskiego 6 wraz z przynależnymi terenami zewnętrznymi, powierzchnia użytkowa - 4642, 11 m</w:t>
      </w:r>
      <w:r w:rsidRPr="00124AA9">
        <w:rPr>
          <w:rFonts w:eastAsia="Times New Roman"/>
          <w:vertAlign w:val="superscript"/>
          <w:lang w:eastAsia="pl-PL"/>
        </w:rPr>
        <w:t>2</w:t>
      </w:r>
      <w:r w:rsidRPr="00124AA9">
        <w:rPr>
          <w:rFonts w:eastAsia="Times New Roman"/>
          <w:lang w:eastAsia="pl-PL"/>
        </w:rPr>
        <w:t>, kubatura – 23405 m</w:t>
      </w:r>
      <w:r w:rsidRPr="00124AA9">
        <w:rPr>
          <w:rFonts w:eastAsia="Times New Roman"/>
          <w:vertAlign w:val="superscript"/>
          <w:lang w:eastAsia="pl-PL"/>
        </w:rPr>
        <w:t>3</w:t>
      </w:r>
    </w:p>
    <w:p w:rsidR="004F679E" w:rsidRPr="00124AA9" w:rsidRDefault="004F679E" w:rsidP="004F679E">
      <w:pPr>
        <w:numPr>
          <w:ilvl w:val="0"/>
          <w:numId w:val="25"/>
        </w:numPr>
        <w:tabs>
          <w:tab w:val="num" w:pos="284"/>
        </w:tabs>
        <w:spacing w:after="0" w:line="276" w:lineRule="auto"/>
        <w:ind w:left="709" w:right="282" w:hanging="425"/>
        <w:contextualSpacing/>
        <w:jc w:val="both"/>
        <w:rPr>
          <w:rFonts w:eastAsia="Times New Roman"/>
          <w:lang w:eastAsia="pl-PL"/>
        </w:rPr>
      </w:pPr>
      <w:r w:rsidRPr="00124AA9">
        <w:rPr>
          <w:rFonts w:eastAsia="Times New Roman"/>
          <w:lang w:eastAsia="pl-PL"/>
        </w:rPr>
        <w:t xml:space="preserve">Budynek </w:t>
      </w:r>
      <w:proofErr w:type="spellStart"/>
      <w:r w:rsidRPr="00124AA9">
        <w:rPr>
          <w:rFonts w:eastAsia="Times New Roman"/>
          <w:lang w:eastAsia="pl-PL"/>
        </w:rPr>
        <w:t>laboratoryjno</w:t>
      </w:r>
      <w:proofErr w:type="spellEnd"/>
      <w:r w:rsidRPr="00124AA9">
        <w:rPr>
          <w:rFonts w:eastAsia="Times New Roman"/>
          <w:lang w:eastAsia="pl-PL"/>
        </w:rPr>
        <w:t xml:space="preserve"> – usługowo - produkcyjny OULU TECH zlokalizowany w Kielcach, przy ulicy Karola Olszewskiego 21 wraz z zewnętrznymi terenami przynależnymi, powierzchnia użytkowa - 4245,62 m</w:t>
      </w:r>
      <w:r w:rsidRPr="00124AA9">
        <w:rPr>
          <w:rFonts w:eastAsia="Times New Roman"/>
          <w:vertAlign w:val="superscript"/>
          <w:lang w:eastAsia="pl-PL"/>
        </w:rPr>
        <w:t>2</w:t>
      </w:r>
      <w:r w:rsidRPr="00124AA9">
        <w:rPr>
          <w:rFonts w:eastAsia="Times New Roman"/>
          <w:lang w:eastAsia="pl-PL"/>
        </w:rPr>
        <w:t>, kubatura - 26132,74 m</w:t>
      </w:r>
      <w:r w:rsidRPr="00124AA9">
        <w:rPr>
          <w:rFonts w:eastAsia="Times New Roman"/>
          <w:vertAlign w:val="superscript"/>
          <w:lang w:eastAsia="pl-PL"/>
        </w:rPr>
        <w:t>3</w:t>
      </w:r>
    </w:p>
    <w:p w:rsidR="004F679E" w:rsidRPr="00124AA9" w:rsidRDefault="004F679E" w:rsidP="004F679E">
      <w:pPr>
        <w:numPr>
          <w:ilvl w:val="0"/>
          <w:numId w:val="25"/>
        </w:numPr>
        <w:spacing w:after="0" w:line="276" w:lineRule="auto"/>
        <w:ind w:left="709" w:right="282" w:hanging="425"/>
        <w:contextualSpacing/>
        <w:jc w:val="both"/>
        <w:rPr>
          <w:rFonts w:eastAsia="Times New Roman"/>
          <w:lang w:eastAsia="pl-PL"/>
        </w:rPr>
      </w:pPr>
      <w:r w:rsidRPr="00124AA9">
        <w:rPr>
          <w:rFonts w:eastAsia="Times New Roman"/>
          <w:lang w:eastAsia="pl-PL"/>
        </w:rPr>
        <w:t xml:space="preserve">Budynek Hali ROMA TECH zlokalizowany w Kielcach, przy ulicy Karola Olszewskiego 20 wraz </w:t>
      </w:r>
      <w:r w:rsidRPr="00124AA9">
        <w:rPr>
          <w:rFonts w:eastAsia="Times New Roman"/>
          <w:lang w:eastAsia="pl-PL"/>
        </w:rPr>
        <w:br/>
        <w:t>z zewnętrznymi terenami przynależnymi, powierzchnia użytkowa 8295, 06 m</w:t>
      </w:r>
      <w:r w:rsidRPr="00124AA9">
        <w:rPr>
          <w:rFonts w:eastAsia="Times New Roman"/>
          <w:vertAlign w:val="superscript"/>
          <w:lang w:eastAsia="pl-PL"/>
        </w:rPr>
        <w:t>2</w:t>
      </w:r>
      <w:r w:rsidRPr="00124AA9">
        <w:rPr>
          <w:rFonts w:eastAsia="Times New Roman"/>
          <w:lang w:eastAsia="pl-PL"/>
        </w:rPr>
        <w:t>, kubatura - 69263,80 m</w:t>
      </w:r>
      <w:r w:rsidRPr="00124AA9">
        <w:rPr>
          <w:rFonts w:eastAsia="Times New Roman"/>
          <w:vertAlign w:val="superscript"/>
          <w:lang w:eastAsia="pl-PL"/>
        </w:rPr>
        <w:t>3</w:t>
      </w:r>
    </w:p>
    <w:p w:rsidR="004F679E" w:rsidRPr="00124AA9" w:rsidRDefault="004F679E" w:rsidP="004F679E">
      <w:pPr>
        <w:numPr>
          <w:ilvl w:val="0"/>
          <w:numId w:val="25"/>
        </w:numPr>
        <w:tabs>
          <w:tab w:val="num" w:pos="284"/>
        </w:tabs>
        <w:spacing w:after="0" w:line="276" w:lineRule="auto"/>
        <w:ind w:left="709" w:right="282" w:hanging="425"/>
        <w:contextualSpacing/>
        <w:jc w:val="both"/>
        <w:rPr>
          <w:rFonts w:eastAsia="Times New Roman"/>
          <w:lang w:eastAsia="pl-PL"/>
        </w:rPr>
      </w:pPr>
      <w:r w:rsidRPr="00124AA9">
        <w:rPr>
          <w:rFonts w:eastAsia="Times New Roman"/>
          <w:lang w:eastAsia="pl-PL"/>
        </w:rPr>
        <w:lastRenderedPageBreak/>
        <w:t>Parking Marina Bay oraz Ogród Energetyczny zlokalizowane w Kielcach, przy ulicy Karola Olszewskiego na działkach nr 6/369, 6/91, 6/367, 6/365, 6/366, 6/58, 6/368, 6/370, 6/322, składający się z 81 miejsc postojowych, strefy jezdnej oraz terenów zielonych,</w:t>
      </w:r>
    </w:p>
    <w:p w:rsidR="004F679E" w:rsidRDefault="004F679E" w:rsidP="004F679E">
      <w:pPr>
        <w:numPr>
          <w:ilvl w:val="0"/>
          <w:numId w:val="25"/>
        </w:numPr>
        <w:spacing w:after="0" w:line="276" w:lineRule="auto"/>
        <w:ind w:left="709" w:right="282" w:hanging="425"/>
        <w:contextualSpacing/>
        <w:jc w:val="both"/>
        <w:rPr>
          <w:rFonts w:eastAsia="Times New Roman"/>
          <w:lang w:eastAsia="pl-PL"/>
        </w:rPr>
      </w:pPr>
      <w:r w:rsidRPr="00124AA9">
        <w:rPr>
          <w:rFonts w:eastAsia="Times New Roman"/>
          <w:lang w:eastAsia="pl-PL"/>
        </w:rPr>
        <w:t xml:space="preserve">Budynek SKYE INC zlokalizowany w Kielcach przy ul. Olszewskiego 6 wraz </w:t>
      </w:r>
      <w:r w:rsidRPr="00124AA9">
        <w:rPr>
          <w:rFonts w:eastAsia="Times New Roman"/>
          <w:lang w:eastAsia="pl-PL"/>
        </w:rPr>
        <w:br/>
        <w:t>z zewnętrznymi terenami przynależnymi, powierzchnia zabudowy 4 887,34 m</w:t>
      </w:r>
      <w:r w:rsidRPr="00124AA9">
        <w:rPr>
          <w:rFonts w:eastAsia="Times New Roman"/>
          <w:vertAlign w:val="superscript"/>
          <w:lang w:eastAsia="pl-PL"/>
        </w:rPr>
        <w:t>2</w:t>
      </w:r>
      <w:r w:rsidRPr="00124AA9">
        <w:rPr>
          <w:rFonts w:eastAsia="Times New Roman"/>
          <w:lang w:eastAsia="pl-PL"/>
        </w:rPr>
        <w:t>, kubatura - 11 500 m</w:t>
      </w:r>
      <w:r w:rsidRPr="00124AA9">
        <w:rPr>
          <w:rFonts w:eastAsia="Times New Roman"/>
          <w:vertAlign w:val="superscript"/>
          <w:lang w:eastAsia="pl-PL"/>
        </w:rPr>
        <w:t>3</w:t>
      </w:r>
      <w:r w:rsidRPr="00124AA9">
        <w:rPr>
          <w:rFonts w:eastAsia="Times New Roman"/>
          <w:lang w:eastAsia="pl-PL"/>
        </w:rPr>
        <w:t>.</w:t>
      </w:r>
    </w:p>
    <w:p w:rsidR="004F679E" w:rsidRPr="00124AA9" w:rsidRDefault="004F679E" w:rsidP="004F679E">
      <w:pPr>
        <w:numPr>
          <w:ilvl w:val="0"/>
          <w:numId w:val="25"/>
        </w:numPr>
        <w:spacing w:after="0" w:line="276" w:lineRule="auto"/>
        <w:ind w:left="709" w:right="282" w:hanging="425"/>
        <w:contextualSpacing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Budynek ROTTERDAM INC zlokalizowany na dz. Nr 5/106, 5/86, 6/492, 5/107, 6/493 wraz z terenami przynależnymi , powierzchnia zabudowy 1138,25 m</w:t>
      </w:r>
      <w:r>
        <w:rPr>
          <w:rFonts w:eastAsia="Times New Roman" w:cstheme="minorHAnsi"/>
          <w:lang w:eastAsia="pl-PL"/>
        </w:rPr>
        <w:t>²</w:t>
      </w:r>
      <w:r>
        <w:rPr>
          <w:rFonts w:eastAsia="Times New Roman"/>
          <w:lang w:eastAsia="pl-PL"/>
        </w:rPr>
        <w:t>, kubatura 13 590,71 m</w:t>
      </w:r>
      <w:r>
        <w:rPr>
          <w:rFonts w:eastAsia="Times New Roman" w:cstheme="minorHAnsi"/>
          <w:lang w:eastAsia="pl-PL"/>
        </w:rPr>
        <w:t>³</w:t>
      </w:r>
      <w:r>
        <w:rPr>
          <w:rFonts w:eastAsia="Times New Roman"/>
          <w:lang w:eastAsia="pl-PL"/>
        </w:rPr>
        <w:t>,</w:t>
      </w:r>
    </w:p>
    <w:p w:rsidR="004F679E" w:rsidRPr="00124AA9" w:rsidRDefault="004F679E" w:rsidP="004F679E">
      <w:pPr>
        <w:numPr>
          <w:ilvl w:val="0"/>
          <w:numId w:val="25"/>
        </w:numPr>
        <w:spacing w:after="0" w:line="276" w:lineRule="auto"/>
        <w:ind w:left="709" w:right="282" w:hanging="425"/>
        <w:contextualSpacing/>
        <w:jc w:val="both"/>
        <w:rPr>
          <w:rFonts w:eastAsia="Times New Roman"/>
          <w:lang w:eastAsia="pl-PL"/>
        </w:rPr>
      </w:pPr>
      <w:r w:rsidRPr="00124AA9">
        <w:rPr>
          <w:rFonts w:eastAsia="Times New Roman"/>
          <w:lang w:eastAsia="pl-PL"/>
        </w:rPr>
        <w:t>Budynek Hali SINGAPUR TECH zlokalizowany w Kielcach, przy ulicy Karola Olszewskiego 19A wraz z zewnętrznymi terenami przynależnymi, powierzchnia użytkowa - 3064,64 m</w:t>
      </w:r>
      <w:r w:rsidRPr="00124AA9">
        <w:rPr>
          <w:rFonts w:eastAsia="Times New Roman"/>
          <w:vertAlign w:val="superscript"/>
          <w:lang w:eastAsia="pl-PL"/>
        </w:rPr>
        <w:t>2</w:t>
      </w:r>
      <w:r w:rsidRPr="00124AA9">
        <w:rPr>
          <w:rFonts w:eastAsia="Times New Roman"/>
          <w:lang w:eastAsia="pl-PL"/>
        </w:rPr>
        <w:t>,</w:t>
      </w:r>
      <w:r w:rsidRPr="00124AA9">
        <w:rPr>
          <w:rFonts w:eastAsia="Times New Roman"/>
          <w:vertAlign w:val="superscript"/>
          <w:lang w:eastAsia="pl-PL"/>
        </w:rPr>
        <w:t xml:space="preserve"> </w:t>
      </w:r>
      <w:r w:rsidRPr="00124AA9">
        <w:rPr>
          <w:rFonts w:eastAsia="Times New Roman"/>
          <w:lang w:eastAsia="pl-PL"/>
        </w:rPr>
        <w:t>kubatura - 23 461,0 m</w:t>
      </w:r>
      <w:r w:rsidRPr="00124AA9">
        <w:rPr>
          <w:rFonts w:eastAsia="Times New Roman"/>
          <w:vertAlign w:val="superscript"/>
          <w:lang w:eastAsia="pl-PL"/>
        </w:rPr>
        <w:t>3</w:t>
      </w:r>
    </w:p>
    <w:p w:rsidR="004F679E" w:rsidRPr="00124AA9" w:rsidRDefault="004F679E" w:rsidP="004F679E">
      <w:pPr>
        <w:numPr>
          <w:ilvl w:val="0"/>
          <w:numId w:val="25"/>
        </w:numPr>
        <w:spacing w:after="0" w:line="276" w:lineRule="auto"/>
        <w:ind w:left="709" w:right="282" w:hanging="425"/>
        <w:contextualSpacing/>
        <w:jc w:val="both"/>
        <w:rPr>
          <w:rFonts w:eastAsia="Times New Roman"/>
          <w:lang w:eastAsia="pl-PL"/>
        </w:rPr>
      </w:pPr>
      <w:r w:rsidRPr="00124AA9">
        <w:rPr>
          <w:rFonts w:eastAsia="Times New Roman"/>
          <w:lang w:eastAsia="pl-PL"/>
        </w:rPr>
        <w:t xml:space="preserve">Budynek Hali YUYAO TECH zlokalizowany w Kielcach, przy ulicy Karola Olszewskiego 19B wraz </w:t>
      </w:r>
      <w:r w:rsidRPr="00124AA9">
        <w:rPr>
          <w:rFonts w:eastAsia="Times New Roman"/>
          <w:lang w:eastAsia="pl-PL"/>
        </w:rPr>
        <w:br/>
        <w:t>z zewnętrznymi terenami przynależnymi, powierzchnia użytkowa - 3330,41 m</w:t>
      </w:r>
      <w:r w:rsidRPr="00124AA9">
        <w:rPr>
          <w:rFonts w:eastAsia="Times New Roman"/>
          <w:vertAlign w:val="superscript"/>
          <w:lang w:eastAsia="pl-PL"/>
        </w:rPr>
        <w:t>2</w:t>
      </w:r>
      <w:r w:rsidRPr="00124AA9">
        <w:rPr>
          <w:rFonts w:eastAsia="Times New Roman"/>
          <w:lang w:eastAsia="pl-PL"/>
        </w:rPr>
        <w:t>, kubatura - 33 692,96 m</w:t>
      </w:r>
      <w:r w:rsidRPr="00124AA9">
        <w:rPr>
          <w:rFonts w:eastAsia="Times New Roman"/>
          <w:vertAlign w:val="superscript"/>
          <w:lang w:eastAsia="pl-PL"/>
        </w:rPr>
        <w:t>3</w:t>
      </w:r>
      <w:r w:rsidRPr="00124AA9">
        <w:rPr>
          <w:rFonts w:eastAsia="Times New Roman"/>
          <w:lang w:eastAsia="pl-PL"/>
        </w:rPr>
        <w:t>,</w:t>
      </w:r>
    </w:p>
    <w:p w:rsidR="004F679E" w:rsidRPr="00124AA9" w:rsidRDefault="004F679E" w:rsidP="004F679E">
      <w:pPr>
        <w:numPr>
          <w:ilvl w:val="0"/>
          <w:numId w:val="25"/>
        </w:numPr>
        <w:spacing w:after="0" w:line="276" w:lineRule="auto"/>
        <w:ind w:left="709" w:right="282" w:hanging="425"/>
        <w:contextualSpacing/>
        <w:jc w:val="both"/>
        <w:rPr>
          <w:rFonts w:eastAsia="Times New Roman"/>
          <w:lang w:eastAsia="pl-PL"/>
        </w:rPr>
      </w:pPr>
      <w:r w:rsidRPr="00124AA9">
        <w:rPr>
          <w:rFonts w:eastAsia="Times New Roman"/>
          <w:lang w:eastAsia="pl-PL"/>
        </w:rPr>
        <w:t xml:space="preserve">Budynek Hali RECIFE TECH zlokalizowany w Kielcach, przy ulicy Karola Olszewskiego 19C wraz </w:t>
      </w:r>
      <w:r w:rsidRPr="00124AA9">
        <w:rPr>
          <w:rFonts w:eastAsia="Times New Roman"/>
          <w:lang w:eastAsia="pl-PL"/>
        </w:rPr>
        <w:br/>
        <w:t>z zewnętrznymi terenami przynależnymi, powierzchnia użytkowa - 3330,41 m</w:t>
      </w:r>
      <w:r w:rsidRPr="00124AA9">
        <w:rPr>
          <w:rFonts w:eastAsia="Times New Roman"/>
          <w:vertAlign w:val="superscript"/>
          <w:lang w:eastAsia="pl-PL"/>
        </w:rPr>
        <w:t>2</w:t>
      </w:r>
      <w:r w:rsidRPr="00124AA9">
        <w:rPr>
          <w:rFonts w:eastAsia="Times New Roman"/>
          <w:lang w:eastAsia="pl-PL"/>
        </w:rPr>
        <w:t>, kubatura - 33 692,96 m</w:t>
      </w:r>
      <w:r w:rsidRPr="00124AA9">
        <w:rPr>
          <w:rFonts w:eastAsia="Times New Roman"/>
          <w:vertAlign w:val="superscript"/>
          <w:lang w:eastAsia="pl-PL"/>
        </w:rPr>
        <w:t>3</w:t>
      </w:r>
      <w:r w:rsidRPr="00124AA9">
        <w:rPr>
          <w:rFonts w:eastAsia="Times New Roman"/>
          <w:lang w:eastAsia="pl-PL"/>
        </w:rPr>
        <w:t>,</w:t>
      </w:r>
    </w:p>
    <w:p w:rsidR="004F679E" w:rsidRPr="00124AA9" w:rsidRDefault="004F679E" w:rsidP="004F679E">
      <w:pPr>
        <w:numPr>
          <w:ilvl w:val="0"/>
          <w:numId w:val="25"/>
        </w:numPr>
        <w:tabs>
          <w:tab w:val="num" w:pos="284"/>
        </w:tabs>
        <w:spacing w:after="0" w:line="276" w:lineRule="auto"/>
        <w:ind w:left="284" w:right="282" w:firstLine="0"/>
        <w:contextualSpacing/>
        <w:jc w:val="both"/>
        <w:rPr>
          <w:rFonts w:eastAsia="Times New Roman"/>
          <w:lang w:eastAsia="pl-PL"/>
        </w:rPr>
      </w:pPr>
      <w:r w:rsidRPr="00124AA9">
        <w:rPr>
          <w:rFonts w:eastAsia="Times New Roman"/>
          <w:lang w:eastAsia="pl-PL"/>
        </w:rPr>
        <w:t>Tereny inwestycyjne strefy A, B, C, D,</w:t>
      </w:r>
    </w:p>
    <w:p w:rsidR="004F679E" w:rsidRPr="00124AA9" w:rsidRDefault="004F679E" w:rsidP="004F679E">
      <w:pPr>
        <w:numPr>
          <w:ilvl w:val="0"/>
          <w:numId w:val="25"/>
        </w:numPr>
        <w:tabs>
          <w:tab w:val="num" w:pos="284"/>
        </w:tabs>
        <w:spacing w:after="0" w:line="276" w:lineRule="auto"/>
        <w:ind w:left="284" w:right="282" w:firstLine="0"/>
        <w:contextualSpacing/>
        <w:jc w:val="both"/>
        <w:rPr>
          <w:rFonts w:eastAsia="Times New Roman"/>
          <w:lang w:eastAsia="pl-PL"/>
        </w:rPr>
      </w:pPr>
      <w:r w:rsidRPr="00124AA9">
        <w:rPr>
          <w:rFonts w:eastAsia="Times New Roman"/>
          <w:lang w:eastAsia="pl-PL"/>
        </w:rPr>
        <w:t xml:space="preserve">Bramownica, tablica informacyjna oraz totemy reklamowe ul. Olszewskiego, </w:t>
      </w:r>
    </w:p>
    <w:p w:rsidR="004F679E" w:rsidRDefault="004F679E" w:rsidP="004F679E">
      <w:pPr>
        <w:numPr>
          <w:ilvl w:val="0"/>
          <w:numId w:val="25"/>
        </w:numPr>
        <w:tabs>
          <w:tab w:val="num" w:pos="284"/>
        </w:tabs>
        <w:spacing w:after="0" w:line="276" w:lineRule="auto"/>
        <w:ind w:left="284" w:right="282" w:firstLine="0"/>
        <w:contextualSpacing/>
        <w:jc w:val="both"/>
        <w:rPr>
          <w:rFonts w:eastAsia="Times New Roman"/>
          <w:lang w:eastAsia="pl-PL"/>
        </w:rPr>
      </w:pPr>
      <w:r w:rsidRPr="00124AA9">
        <w:rPr>
          <w:rFonts w:eastAsia="Times New Roman"/>
          <w:lang w:eastAsia="pl-PL"/>
        </w:rPr>
        <w:t xml:space="preserve">Stacje transformatorowe KPT, </w:t>
      </w:r>
    </w:p>
    <w:p w:rsidR="004F679E" w:rsidRPr="00124AA9" w:rsidRDefault="004F679E" w:rsidP="004F679E">
      <w:pPr>
        <w:numPr>
          <w:ilvl w:val="0"/>
          <w:numId w:val="25"/>
        </w:numPr>
        <w:tabs>
          <w:tab w:val="num" w:pos="284"/>
        </w:tabs>
        <w:spacing w:after="0" w:line="276" w:lineRule="auto"/>
        <w:ind w:left="284" w:right="282" w:firstLine="0"/>
        <w:contextualSpacing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Utylizacja zużytych filtrów do wentylacji.</w:t>
      </w:r>
    </w:p>
    <w:p w:rsidR="004F679E" w:rsidRPr="00124AA9" w:rsidRDefault="004F679E" w:rsidP="004F679E">
      <w:pPr>
        <w:spacing w:line="276" w:lineRule="auto"/>
        <w:ind w:left="284" w:right="282"/>
        <w:jc w:val="both"/>
        <w:rPr>
          <w:b/>
        </w:rPr>
      </w:pPr>
    </w:p>
    <w:p w:rsidR="004F679E" w:rsidRPr="00124AA9" w:rsidRDefault="004F679E" w:rsidP="004F679E">
      <w:pPr>
        <w:spacing w:line="276" w:lineRule="auto"/>
        <w:ind w:left="284" w:right="282"/>
        <w:jc w:val="both"/>
        <w:rPr>
          <w:rFonts w:cs="Arial"/>
          <w:b/>
          <w:u w:val="single"/>
        </w:rPr>
      </w:pPr>
      <w:r w:rsidRPr="00124AA9">
        <w:rPr>
          <w:b/>
        </w:rPr>
        <w:t>Szczegółowe wytyczne dotyczące przeprowadzania bieżącej oraz technicznej obsługi nieruchomości oraz okresowych przeglądów konserwacyjnych zostały wyszczególnione w dokumentacji (instrukcje, wykazy urządzeń, projekt umo</w:t>
      </w:r>
      <w:r w:rsidR="00481A6C">
        <w:rPr>
          <w:b/>
        </w:rPr>
        <w:t>wy) stanowiącej załączniki do S</w:t>
      </w:r>
      <w:r w:rsidRPr="00124AA9">
        <w:rPr>
          <w:b/>
        </w:rPr>
        <w:t>WZ. Okresowe czynności konserwacyjne powinny być przeprowadzane min. 1 raz w roku oraz zgodnie z wymogami stawianymi przez producentów urządzeń jak również zawartymi w instrukcjach użytkowania obiektów. Po przeprowadzeniu konserwacji należy sporządzić pisemny protokół zawierający opis wykonanych czynności wraz z wykazem usterek i zaleceń.</w:t>
      </w:r>
    </w:p>
    <w:p w:rsidR="004F679E" w:rsidRPr="00124AA9" w:rsidRDefault="004F679E" w:rsidP="004F679E">
      <w:pPr>
        <w:spacing w:line="276" w:lineRule="auto"/>
        <w:ind w:left="284" w:right="282"/>
        <w:jc w:val="both"/>
        <w:rPr>
          <w:rFonts w:cs="Arial"/>
          <w:b/>
        </w:rPr>
      </w:pPr>
      <w:r w:rsidRPr="00124AA9">
        <w:rPr>
          <w:b/>
        </w:rPr>
        <w:t>Zaleca się aby wykonawca dokonał wizji lokalnej na terenie obiektów Kieleckiego Parku Technologicznego objętych przedmiotem zamówienia oraz zdobył wszelkie informacje, które mogą być konieczne do przygotowania oferty.</w:t>
      </w:r>
    </w:p>
    <w:p w:rsidR="00CA3DAE" w:rsidRPr="00011B4C" w:rsidRDefault="00CA3DAE" w:rsidP="00CC3A7F">
      <w:pPr>
        <w:pStyle w:val="Nagwek"/>
        <w:tabs>
          <w:tab w:val="clear" w:pos="4536"/>
          <w:tab w:val="clear" w:pos="9072"/>
        </w:tabs>
        <w:spacing w:after="160" w:line="259" w:lineRule="auto"/>
      </w:pPr>
    </w:p>
    <w:sectPr w:rsidR="00CA3DAE" w:rsidRPr="00011B4C" w:rsidSect="008162F3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2552" w:right="991" w:bottom="1985" w:left="993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7FF4" w:rsidRDefault="00797FF4" w:rsidP="00013907">
      <w:pPr>
        <w:spacing w:after="0" w:line="240" w:lineRule="auto"/>
      </w:pPr>
      <w:r>
        <w:separator/>
      </w:r>
    </w:p>
  </w:endnote>
  <w:endnote w:type="continuationSeparator" w:id="0">
    <w:p w:rsidR="00797FF4" w:rsidRDefault="00797FF4" w:rsidP="000139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buntu Light">
    <w:altName w:val="Segoe Script"/>
    <w:charset w:val="EE"/>
    <w:family w:val="swiss"/>
    <w:pitch w:val="variable"/>
    <w:sig w:usb0="E00002FF" w:usb1="5000205B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6F20" w:rsidRPr="007C13BE" w:rsidRDefault="001E55E2" w:rsidP="00B419FB">
    <w:pPr>
      <w:pStyle w:val="Stopka"/>
      <w:jc w:val="right"/>
      <w:rPr>
        <w:color w:val="CE0058"/>
      </w:rPr>
    </w:pPr>
    <w:r w:rsidRPr="007C13BE">
      <w:rPr>
        <w:b/>
        <w:bCs/>
        <w:color w:val="CE0058"/>
        <w:sz w:val="16"/>
        <w:szCs w:val="16"/>
      </w:rPr>
      <w:fldChar w:fldCharType="begin"/>
    </w:r>
    <w:r w:rsidR="00B419FB" w:rsidRPr="007C13BE">
      <w:rPr>
        <w:b/>
        <w:bCs/>
        <w:color w:val="CE0058"/>
        <w:sz w:val="16"/>
        <w:szCs w:val="16"/>
      </w:rPr>
      <w:instrText>PAGE</w:instrText>
    </w:r>
    <w:r w:rsidRPr="007C13BE">
      <w:rPr>
        <w:b/>
        <w:bCs/>
        <w:color w:val="CE0058"/>
        <w:sz w:val="16"/>
        <w:szCs w:val="16"/>
      </w:rPr>
      <w:fldChar w:fldCharType="separate"/>
    </w:r>
    <w:r w:rsidR="00187287">
      <w:rPr>
        <w:b/>
        <w:bCs/>
        <w:noProof/>
        <w:color w:val="CE0058"/>
        <w:sz w:val="16"/>
        <w:szCs w:val="16"/>
      </w:rPr>
      <w:t>2</w:t>
    </w:r>
    <w:r w:rsidRPr="007C13BE">
      <w:rPr>
        <w:b/>
        <w:bCs/>
        <w:color w:val="CE0058"/>
        <w:sz w:val="16"/>
        <w:szCs w:val="16"/>
      </w:rPr>
      <w:fldChar w:fldCharType="end"/>
    </w:r>
    <w:r w:rsidR="00B419FB" w:rsidRPr="007C13BE">
      <w:rPr>
        <w:color w:val="CE0058"/>
        <w:sz w:val="16"/>
        <w:szCs w:val="16"/>
      </w:rPr>
      <w:t xml:space="preserve"> / </w:t>
    </w:r>
    <w:r w:rsidRPr="007C13BE">
      <w:rPr>
        <w:b/>
        <w:bCs/>
        <w:color w:val="CE0058"/>
        <w:sz w:val="16"/>
        <w:szCs w:val="16"/>
      </w:rPr>
      <w:fldChar w:fldCharType="begin"/>
    </w:r>
    <w:r w:rsidR="00B419FB" w:rsidRPr="007C13BE">
      <w:rPr>
        <w:b/>
        <w:bCs/>
        <w:color w:val="CE0058"/>
        <w:sz w:val="16"/>
        <w:szCs w:val="16"/>
      </w:rPr>
      <w:instrText>NUMPAGES</w:instrText>
    </w:r>
    <w:r w:rsidRPr="007C13BE">
      <w:rPr>
        <w:b/>
        <w:bCs/>
        <w:color w:val="CE0058"/>
        <w:sz w:val="16"/>
        <w:szCs w:val="16"/>
      </w:rPr>
      <w:fldChar w:fldCharType="separate"/>
    </w:r>
    <w:r w:rsidR="00187287">
      <w:rPr>
        <w:b/>
        <w:bCs/>
        <w:noProof/>
        <w:color w:val="CE0058"/>
        <w:sz w:val="16"/>
        <w:szCs w:val="16"/>
      </w:rPr>
      <w:t>2</w:t>
    </w:r>
    <w:r w:rsidRPr="007C13BE">
      <w:rPr>
        <w:b/>
        <w:bCs/>
        <w:color w:val="CE0058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7FF4" w:rsidRDefault="00797FF4" w:rsidP="00013907">
      <w:pPr>
        <w:spacing w:after="0" w:line="240" w:lineRule="auto"/>
      </w:pPr>
      <w:r>
        <w:separator/>
      </w:r>
    </w:p>
  </w:footnote>
  <w:footnote w:type="continuationSeparator" w:id="0">
    <w:p w:rsidR="00797FF4" w:rsidRDefault="00797FF4" w:rsidP="000139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723F" w:rsidRDefault="0023408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7728" behindDoc="1" locked="0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9040" cy="10692130"/>
          <wp:effectExtent l="0" t="0" r="3810" b="0"/>
          <wp:wrapNone/>
          <wp:docPr id="1" name="Obraz 1" descr="papier_21_qr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papier_21_qr-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10692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907" w:rsidRPr="00D72742" w:rsidRDefault="00187287">
    <w:pPr>
      <w:pStyle w:val="Nagwek"/>
      <w:rPr>
        <w:color w:val="C62D54"/>
      </w:rPr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3594752" o:spid="_x0000_s2078" type="#_x0000_t75" style="position:absolute;margin-left:-56.8pt;margin-top:-127.1pt;width:595.2pt;height:841.9pt;z-index:-251657728;mso-position-horizontal-relative:margin;mso-position-vertical-relative:margin" o:allowincell="f">
          <v:imagedata r:id="rId1" o:title="papier_21-02"/>
          <w10:wrap anchorx="margin" anchory="margin"/>
        </v:shape>
      </w:pict>
    </w:r>
    <w:r w:rsidR="00530311" w:rsidRPr="00530311"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7C7B" w:rsidRDefault="00187287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75" type="#_x0000_t75" style="position:absolute;margin-left:-50.25pt;margin-top:-128.5pt;width:595.2pt;height:841.9pt;z-index:-251659776;mso-position-horizontal-relative:margin;mso-position-vertical-relative:margin" o:allowincell="f">
          <v:imagedata r:id="rId1" o:title="papier_21_qr-0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D4141"/>
    <w:multiLevelType w:val="hybridMultilevel"/>
    <w:tmpl w:val="DE5E71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791EE0"/>
    <w:multiLevelType w:val="hybridMultilevel"/>
    <w:tmpl w:val="4CD4D0E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1B8D1F87"/>
    <w:multiLevelType w:val="hybridMultilevel"/>
    <w:tmpl w:val="72A23CFE"/>
    <w:lvl w:ilvl="0" w:tplc="6008AFD0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F373D4E"/>
    <w:multiLevelType w:val="hybridMultilevel"/>
    <w:tmpl w:val="56E63A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2F1B6D"/>
    <w:multiLevelType w:val="hybridMultilevel"/>
    <w:tmpl w:val="D4542E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53C0AB3"/>
    <w:multiLevelType w:val="hybridMultilevel"/>
    <w:tmpl w:val="39A26A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5500E61"/>
    <w:multiLevelType w:val="hybridMultilevel"/>
    <w:tmpl w:val="C22A60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DC20EF9"/>
    <w:multiLevelType w:val="hybridMultilevel"/>
    <w:tmpl w:val="2A2A1C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1702C76"/>
    <w:multiLevelType w:val="hybridMultilevel"/>
    <w:tmpl w:val="ABDA43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26D7F15"/>
    <w:multiLevelType w:val="hybridMultilevel"/>
    <w:tmpl w:val="3D288284"/>
    <w:lvl w:ilvl="0" w:tplc="870AFD1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5D9639D"/>
    <w:multiLevelType w:val="multilevel"/>
    <w:tmpl w:val="CABAC58A"/>
    <w:lvl w:ilvl="0">
      <w:start w:val="1"/>
      <w:numFmt w:val="upperRoman"/>
      <w:lvlText w:val="%1."/>
      <w:lvlJc w:val="left"/>
      <w:pPr>
        <w:ind w:left="1440" w:hanging="720"/>
      </w:pPr>
      <w:rPr>
        <w:rFonts w:asciiTheme="minorHAnsi" w:hAnsiTheme="minorHAnsi" w:cstheme="minorHAnsi" w:hint="default"/>
      </w:rPr>
    </w:lvl>
    <w:lvl w:ilvl="1">
      <w:start w:val="2"/>
      <w:numFmt w:val="decimal"/>
      <w:isLgl/>
      <w:lvlText w:val="%1.%2."/>
      <w:lvlJc w:val="left"/>
      <w:pPr>
        <w:ind w:left="186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6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4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2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280" w:hanging="1800"/>
      </w:pPr>
      <w:rPr>
        <w:rFonts w:hint="default"/>
      </w:rPr>
    </w:lvl>
  </w:abstractNum>
  <w:abstractNum w:abstractNumId="11">
    <w:nsid w:val="4E572185"/>
    <w:multiLevelType w:val="hybridMultilevel"/>
    <w:tmpl w:val="3E3AA4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FD31893"/>
    <w:multiLevelType w:val="hybridMultilevel"/>
    <w:tmpl w:val="A4C6DE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4395D32"/>
    <w:multiLevelType w:val="hybridMultilevel"/>
    <w:tmpl w:val="AC3E37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B650AF8"/>
    <w:multiLevelType w:val="hybridMultilevel"/>
    <w:tmpl w:val="B0EA89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14C6C47"/>
    <w:multiLevelType w:val="hybridMultilevel"/>
    <w:tmpl w:val="0C5A59F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5FC31E4"/>
    <w:multiLevelType w:val="hybridMultilevel"/>
    <w:tmpl w:val="8A0C786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>
    <w:nsid w:val="697F7079"/>
    <w:multiLevelType w:val="hybridMultilevel"/>
    <w:tmpl w:val="4A0C0F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E076144"/>
    <w:multiLevelType w:val="hybridMultilevel"/>
    <w:tmpl w:val="E5B04D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0925C16"/>
    <w:multiLevelType w:val="hybridMultilevel"/>
    <w:tmpl w:val="1362D6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36774CE"/>
    <w:multiLevelType w:val="hybridMultilevel"/>
    <w:tmpl w:val="4CA26A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3D20F6E"/>
    <w:multiLevelType w:val="hybridMultilevel"/>
    <w:tmpl w:val="4EDA7678"/>
    <w:lvl w:ilvl="0" w:tplc="26FCEB44">
      <w:start w:val="1"/>
      <w:numFmt w:val="lowerLetter"/>
      <w:lvlText w:val="%1)"/>
      <w:lvlJc w:val="left"/>
      <w:pPr>
        <w:tabs>
          <w:tab w:val="num" w:pos="567"/>
        </w:tabs>
        <w:ind w:left="851" w:hanging="284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2">
    <w:nsid w:val="77A67C4C"/>
    <w:multiLevelType w:val="hybridMultilevel"/>
    <w:tmpl w:val="977862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9713D05"/>
    <w:multiLevelType w:val="hybridMultilevel"/>
    <w:tmpl w:val="3E6C3880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4">
    <w:nsid w:val="7FC469BE"/>
    <w:multiLevelType w:val="hybridMultilevel"/>
    <w:tmpl w:val="96A6C4AC"/>
    <w:lvl w:ilvl="0" w:tplc="FD809B1A">
      <w:start w:val="1"/>
      <w:numFmt w:val="decimal"/>
      <w:lvlText w:val="%1)"/>
      <w:lvlJc w:val="left"/>
      <w:pPr>
        <w:tabs>
          <w:tab w:val="num" w:pos="426"/>
        </w:tabs>
        <w:ind w:left="710" w:hanging="284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tabs>
          <w:tab w:val="num" w:pos="2434"/>
        </w:tabs>
        <w:ind w:left="243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3154"/>
        </w:tabs>
        <w:ind w:left="3154" w:hanging="180"/>
      </w:pPr>
    </w:lvl>
    <w:lvl w:ilvl="3" w:tplc="0415000F">
      <w:start w:val="1"/>
      <w:numFmt w:val="decimal"/>
      <w:lvlText w:val="%4."/>
      <w:lvlJc w:val="left"/>
      <w:pPr>
        <w:tabs>
          <w:tab w:val="num" w:pos="3874"/>
        </w:tabs>
        <w:ind w:left="387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594"/>
        </w:tabs>
        <w:ind w:left="459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314"/>
        </w:tabs>
        <w:ind w:left="5314" w:hanging="180"/>
      </w:pPr>
    </w:lvl>
    <w:lvl w:ilvl="6" w:tplc="0415000F">
      <w:start w:val="1"/>
      <w:numFmt w:val="decimal"/>
      <w:lvlText w:val="%7."/>
      <w:lvlJc w:val="left"/>
      <w:pPr>
        <w:tabs>
          <w:tab w:val="num" w:pos="6034"/>
        </w:tabs>
        <w:ind w:left="603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754"/>
        </w:tabs>
        <w:ind w:left="675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474"/>
        </w:tabs>
        <w:ind w:left="7474" w:hanging="180"/>
      </w:pPr>
    </w:lvl>
  </w:abstractNum>
  <w:num w:numId="1">
    <w:abstractNumId w:val="15"/>
  </w:num>
  <w:num w:numId="2">
    <w:abstractNumId w:val="11"/>
  </w:num>
  <w:num w:numId="3">
    <w:abstractNumId w:val="22"/>
  </w:num>
  <w:num w:numId="4">
    <w:abstractNumId w:val="20"/>
  </w:num>
  <w:num w:numId="5">
    <w:abstractNumId w:val="18"/>
  </w:num>
  <w:num w:numId="6">
    <w:abstractNumId w:val="19"/>
  </w:num>
  <w:num w:numId="7">
    <w:abstractNumId w:val="0"/>
  </w:num>
  <w:num w:numId="8">
    <w:abstractNumId w:val="8"/>
  </w:num>
  <w:num w:numId="9">
    <w:abstractNumId w:val="13"/>
  </w:num>
  <w:num w:numId="10">
    <w:abstractNumId w:val="6"/>
  </w:num>
  <w:num w:numId="11">
    <w:abstractNumId w:val="12"/>
  </w:num>
  <w:num w:numId="12">
    <w:abstractNumId w:val="9"/>
  </w:num>
  <w:num w:numId="13">
    <w:abstractNumId w:val="1"/>
  </w:num>
  <w:num w:numId="14">
    <w:abstractNumId w:val="16"/>
  </w:num>
  <w:num w:numId="15">
    <w:abstractNumId w:val="10"/>
  </w:num>
  <w:num w:numId="16">
    <w:abstractNumId w:val="14"/>
  </w:num>
  <w:num w:numId="17">
    <w:abstractNumId w:val="3"/>
  </w:num>
  <w:num w:numId="18">
    <w:abstractNumId w:val="17"/>
  </w:num>
  <w:num w:numId="19">
    <w:abstractNumId w:val="7"/>
  </w:num>
  <w:num w:numId="20">
    <w:abstractNumId w:val="23"/>
  </w:num>
  <w:num w:numId="21">
    <w:abstractNumId w:val="4"/>
  </w:num>
  <w:num w:numId="22">
    <w:abstractNumId w:val="5"/>
  </w:num>
  <w:num w:numId="23">
    <w:abstractNumId w:val="2"/>
  </w:num>
  <w:num w:numId="24">
    <w:abstractNumId w:val="21"/>
  </w:num>
  <w:num w:numId="25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7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4084"/>
    <w:rsid w:val="00011B4C"/>
    <w:rsid w:val="00013907"/>
    <w:rsid w:val="00080CDE"/>
    <w:rsid w:val="00083FF5"/>
    <w:rsid w:val="000A699F"/>
    <w:rsid w:val="000D0BB0"/>
    <w:rsid w:val="000D1E01"/>
    <w:rsid w:val="001068A6"/>
    <w:rsid w:val="00122E2F"/>
    <w:rsid w:val="00132AB1"/>
    <w:rsid w:val="001470D6"/>
    <w:rsid w:val="00187287"/>
    <w:rsid w:val="001872B4"/>
    <w:rsid w:val="001E55E2"/>
    <w:rsid w:val="001F5009"/>
    <w:rsid w:val="00234084"/>
    <w:rsid w:val="00251F90"/>
    <w:rsid w:val="00280733"/>
    <w:rsid w:val="00295A36"/>
    <w:rsid w:val="002A3146"/>
    <w:rsid w:val="002D1E7C"/>
    <w:rsid w:val="002F7C45"/>
    <w:rsid w:val="00303887"/>
    <w:rsid w:val="00333E8F"/>
    <w:rsid w:val="003B0534"/>
    <w:rsid w:val="003D4A43"/>
    <w:rsid w:val="003F13E6"/>
    <w:rsid w:val="0041760F"/>
    <w:rsid w:val="00481A6C"/>
    <w:rsid w:val="004F679E"/>
    <w:rsid w:val="0050758E"/>
    <w:rsid w:val="005211F5"/>
    <w:rsid w:val="00530311"/>
    <w:rsid w:val="0054724D"/>
    <w:rsid w:val="005D3B82"/>
    <w:rsid w:val="005E6617"/>
    <w:rsid w:val="006104DC"/>
    <w:rsid w:val="0061396A"/>
    <w:rsid w:val="0062723F"/>
    <w:rsid w:val="006A37F9"/>
    <w:rsid w:val="006D6F20"/>
    <w:rsid w:val="00712D4F"/>
    <w:rsid w:val="00783394"/>
    <w:rsid w:val="007919B7"/>
    <w:rsid w:val="00797FF4"/>
    <w:rsid w:val="007C13BE"/>
    <w:rsid w:val="008162F3"/>
    <w:rsid w:val="00830DF2"/>
    <w:rsid w:val="0088010F"/>
    <w:rsid w:val="008853D2"/>
    <w:rsid w:val="008F3A77"/>
    <w:rsid w:val="009026E4"/>
    <w:rsid w:val="00964B25"/>
    <w:rsid w:val="009A3B76"/>
    <w:rsid w:val="009C6BC5"/>
    <w:rsid w:val="009D23A7"/>
    <w:rsid w:val="00A503D5"/>
    <w:rsid w:val="00AC6384"/>
    <w:rsid w:val="00B13E06"/>
    <w:rsid w:val="00B2220F"/>
    <w:rsid w:val="00B419FB"/>
    <w:rsid w:val="00B51346"/>
    <w:rsid w:val="00BB32C2"/>
    <w:rsid w:val="00BC5E7B"/>
    <w:rsid w:val="00BE6C50"/>
    <w:rsid w:val="00C42D5C"/>
    <w:rsid w:val="00C54A3F"/>
    <w:rsid w:val="00C70C21"/>
    <w:rsid w:val="00CA3DAE"/>
    <w:rsid w:val="00CB72DE"/>
    <w:rsid w:val="00CC3A7F"/>
    <w:rsid w:val="00D02D19"/>
    <w:rsid w:val="00D41BD2"/>
    <w:rsid w:val="00D72742"/>
    <w:rsid w:val="00D94917"/>
    <w:rsid w:val="00E15273"/>
    <w:rsid w:val="00E24886"/>
    <w:rsid w:val="00EB622D"/>
    <w:rsid w:val="00EB6A60"/>
    <w:rsid w:val="00EF492F"/>
    <w:rsid w:val="00F26DE2"/>
    <w:rsid w:val="00F5110F"/>
    <w:rsid w:val="00F65734"/>
    <w:rsid w:val="00FC7C7B"/>
    <w:rsid w:val="00FF5922"/>
    <w:rsid w:val="00FF6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4084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503D5"/>
    <w:pPr>
      <w:keepNext/>
      <w:spacing w:after="0" w:line="240" w:lineRule="auto"/>
      <w:jc w:val="right"/>
      <w:outlineLvl w:val="0"/>
    </w:pPr>
    <w:rPr>
      <w:rFonts w:eastAsia="Times New Roman" w:cstheme="minorHAnsi"/>
      <w:b/>
      <w:iCs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</w:pPr>
    <w:rPr>
      <w:rFonts w:ascii="Ubuntu Light" w:hAnsi="Ubuntu Light" w:cs="Ubuntu Light"/>
      <w:color w:val="000000"/>
      <w:sz w:val="24"/>
      <w:szCs w:val="24"/>
      <w:lang w:eastAsia="en-US"/>
    </w:rPr>
  </w:style>
  <w:style w:type="character" w:styleId="Hipercze">
    <w:name w:val="Hyperlink"/>
    <w:uiPriority w:val="99"/>
    <w:unhideWhenUsed/>
    <w:rsid w:val="00E24886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234084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1068A6"/>
    <w:pPr>
      <w:jc w:val="both"/>
    </w:pPr>
    <w:rPr>
      <w:rFonts w:eastAsia="Times New Roman" w:cstheme="minorHAnsi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068A6"/>
    <w:rPr>
      <w:rFonts w:asciiTheme="minorHAnsi" w:eastAsia="Times New Roman" w:hAnsiTheme="minorHAnsi" w:cstheme="minorHAnsi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A503D5"/>
    <w:rPr>
      <w:rFonts w:asciiTheme="minorHAnsi" w:eastAsia="Times New Roman" w:hAnsiTheme="minorHAnsi" w:cstheme="minorHAnsi"/>
      <w:b/>
      <w:i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4084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503D5"/>
    <w:pPr>
      <w:keepNext/>
      <w:spacing w:after="0" w:line="240" w:lineRule="auto"/>
      <w:jc w:val="right"/>
      <w:outlineLvl w:val="0"/>
    </w:pPr>
    <w:rPr>
      <w:rFonts w:eastAsia="Times New Roman" w:cstheme="minorHAnsi"/>
      <w:b/>
      <w:iCs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</w:pPr>
    <w:rPr>
      <w:rFonts w:ascii="Ubuntu Light" w:hAnsi="Ubuntu Light" w:cs="Ubuntu Light"/>
      <w:color w:val="000000"/>
      <w:sz w:val="24"/>
      <w:szCs w:val="24"/>
      <w:lang w:eastAsia="en-US"/>
    </w:rPr>
  </w:style>
  <w:style w:type="character" w:styleId="Hipercze">
    <w:name w:val="Hyperlink"/>
    <w:uiPriority w:val="99"/>
    <w:unhideWhenUsed/>
    <w:rsid w:val="00E24886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234084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1068A6"/>
    <w:pPr>
      <w:jc w:val="both"/>
    </w:pPr>
    <w:rPr>
      <w:rFonts w:eastAsia="Times New Roman" w:cstheme="minorHAnsi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068A6"/>
    <w:rPr>
      <w:rFonts w:asciiTheme="minorHAnsi" w:eastAsia="Times New Roman" w:hAnsiTheme="minorHAnsi" w:cstheme="minorHAnsi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A503D5"/>
    <w:rPr>
      <w:rFonts w:asciiTheme="minorHAnsi" w:eastAsia="Times New Roman" w:hAnsiTheme="minorHAnsi" w:cstheme="minorHAnsi"/>
      <w:b/>
      <w:i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5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80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1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75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Szablony%20dokument&#243;w\KPT%202021\szablon_papier_firmowy\pl\KPT_ck_papier_pl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CA546D-EDF4-446D-818D-C3FBFE12DD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KPT_ck_papier_pl</Template>
  <TotalTime>7</TotalTime>
  <Pages>2</Pages>
  <Words>585</Words>
  <Characters>3514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Agencja Rozwoju Przedsiębiorczości</Company>
  <LinksUpToDate>false</LinksUpToDate>
  <CharactersWithSpaces>4091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Ewelina Głowacka</dc:creator>
  <cp:lastModifiedBy>Katarzyna Paździerz</cp:lastModifiedBy>
  <cp:revision>5</cp:revision>
  <cp:lastPrinted>2021-12-08T12:42:00Z</cp:lastPrinted>
  <dcterms:created xsi:type="dcterms:W3CDTF">2021-12-03T10:49:00Z</dcterms:created>
  <dcterms:modified xsi:type="dcterms:W3CDTF">2021-12-08T12:42:00Z</dcterms:modified>
</cp:coreProperties>
</file>