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71E" w:rsidRDefault="0074337C" w:rsidP="0013671E">
      <w:pPr>
        <w:pStyle w:val="Default"/>
      </w:pP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00C8691A" wp14:editId="2374B3CF">
            <wp:simplePos x="0" y="0"/>
            <wp:positionH relativeFrom="column">
              <wp:posOffset>-890905</wp:posOffset>
            </wp:positionH>
            <wp:positionV relativeFrom="paragraph">
              <wp:posOffset>285115</wp:posOffset>
            </wp:positionV>
            <wp:extent cx="7587615" cy="9328785"/>
            <wp:effectExtent l="0" t="0" r="0" b="5715"/>
            <wp:wrapNone/>
            <wp:docPr id="10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86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69" r="673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7615" cy="932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671E" w:rsidRDefault="0013671E" w:rsidP="00163644">
      <w:pPr>
        <w:pStyle w:val="Default"/>
        <w:jc w:val="right"/>
        <w:rPr>
          <w:i/>
          <w:iCs/>
          <w:sz w:val="18"/>
          <w:szCs w:val="18"/>
        </w:rPr>
      </w:pPr>
      <w:r>
        <w:t xml:space="preserve"> </w:t>
      </w:r>
      <w:r>
        <w:rPr>
          <w:i/>
          <w:iCs/>
          <w:sz w:val="18"/>
          <w:szCs w:val="18"/>
        </w:rPr>
        <w:t xml:space="preserve">Załącznik nr </w:t>
      </w:r>
      <w:r w:rsidR="00163644">
        <w:rPr>
          <w:i/>
          <w:iCs/>
          <w:sz w:val="18"/>
          <w:szCs w:val="18"/>
        </w:rPr>
        <w:t>2</w:t>
      </w:r>
    </w:p>
    <w:p w:rsidR="00163644" w:rsidRDefault="00163644" w:rsidP="00163644">
      <w:pPr>
        <w:jc w:val="right"/>
        <w:rPr>
          <w:rFonts w:ascii="Calibri" w:hAnsi="Calibri"/>
          <w:i/>
          <w:sz w:val="18"/>
          <w:szCs w:val="22"/>
        </w:rPr>
      </w:pPr>
      <w:r w:rsidRPr="005E3842">
        <w:rPr>
          <w:rFonts w:ascii="Calibri" w:hAnsi="Calibri"/>
          <w:i/>
          <w:sz w:val="18"/>
          <w:szCs w:val="22"/>
        </w:rPr>
        <w:t>do dokumentacji pn. Warunki naboru ofert</w:t>
      </w:r>
      <w:r>
        <w:rPr>
          <w:rFonts w:ascii="Calibri" w:hAnsi="Calibri"/>
          <w:i/>
          <w:sz w:val="18"/>
          <w:szCs w:val="22"/>
        </w:rPr>
        <w:t xml:space="preserve"> na najem lokalu, </w:t>
      </w:r>
    </w:p>
    <w:p w:rsidR="00163644" w:rsidRDefault="00163644" w:rsidP="00163644">
      <w:pPr>
        <w:jc w:val="right"/>
        <w:rPr>
          <w:rFonts w:ascii="Calibri" w:hAnsi="Calibri"/>
          <w:i/>
          <w:sz w:val="18"/>
          <w:szCs w:val="22"/>
        </w:rPr>
      </w:pPr>
      <w:r>
        <w:rPr>
          <w:rFonts w:ascii="Calibri" w:hAnsi="Calibri"/>
          <w:i/>
          <w:sz w:val="18"/>
          <w:szCs w:val="22"/>
        </w:rPr>
        <w:t>w którym będą świadczone usługi cateringowe w budynku</w:t>
      </w:r>
      <w:r w:rsidRPr="005E3842">
        <w:rPr>
          <w:rFonts w:ascii="Calibri" w:hAnsi="Calibri"/>
          <w:i/>
          <w:sz w:val="18"/>
          <w:szCs w:val="22"/>
        </w:rPr>
        <w:t xml:space="preserve"> </w:t>
      </w:r>
    </w:p>
    <w:p w:rsidR="00163644" w:rsidRDefault="00163644" w:rsidP="00163644">
      <w:pPr>
        <w:pStyle w:val="Default"/>
        <w:jc w:val="right"/>
        <w:rPr>
          <w:i/>
          <w:sz w:val="18"/>
          <w:szCs w:val="22"/>
        </w:rPr>
      </w:pPr>
      <w:r>
        <w:rPr>
          <w:i/>
          <w:sz w:val="18"/>
          <w:szCs w:val="22"/>
        </w:rPr>
        <w:t xml:space="preserve">Centrum Technologicznego </w:t>
      </w:r>
      <w:r w:rsidRPr="005E3842">
        <w:rPr>
          <w:i/>
          <w:sz w:val="18"/>
          <w:szCs w:val="22"/>
        </w:rPr>
        <w:t>Kieleckiego Parku Technologicznego</w:t>
      </w:r>
    </w:p>
    <w:p w:rsidR="00163644" w:rsidRDefault="00163644" w:rsidP="00163644">
      <w:pPr>
        <w:pStyle w:val="Default"/>
        <w:jc w:val="right"/>
        <w:rPr>
          <w:sz w:val="18"/>
          <w:szCs w:val="18"/>
        </w:rPr>
      </w:pPr>
    </w:p>
    <w:p w:rsidR="0013671E" w:rsidRDefault="0013671E" w:rsidP="00163644">
      <w:pPr>
        <w:pStyle w:val="Default"/>
        <w:jc w:val="right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Załącznik nr 2 do Zarządzenia Nr 15/12 </w:t>
      </w:r>
    </w:p>
    <w:p w:rsidR="0013671E" w:rsidRDefault="0013671E" w:rsidP="00163644">
      <w:pPr>
        <w:pStyle w:val="Default"/>
        <w:jc w:val="right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Dyrektora Kieleckiego Parku Technologicznego </w:t>
      </w:r>
    </w:p>
    <w:p w:rsidR="0013671E" w:rsidRDefault="0013671E" w:rsidP="00163644">
      <w:pPr>
        <w:pStyle w:val="Default"/>
        <w:jc w:val="right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z dnia 5 kwietnia 2012r. </w:t>
      </w:r>
    </w:p>
    <w:p w:rsidR="00163644" w:rsidRDefault="00163644" w:rsidP="00163644">
      <w:pPr>
        <w:pStyle w:val="Default"/>
        <w:jc w:val="both"/>
        <w:outlineLvl w:val="0"/>
        <w:rPr>
          <w:b/>
          <w:bCs/>
          <w:sz w:val="22"/>
          <w:szCs w:val="22"/>
        </w:rPr>
      </w:pPr>
    </w:p>
    <w:p w:rsidR="0013671E" w:rsidRPr="00163644" w:rsidRDefault="0013671E" w:rsidP="00163644">
      <w:pPr>
        <w:pStyle w:val="Default"/>
        <w:jc w:val="center"/>
        <w:outlineLvl w:val="0"/>
        <w:rPr>
          <w:sz w:val="22"/>
          <w:szCs w:val="22"/>
          <w:u w:val="single"/>
        </w:rPr>
      </w:pPr>
      <w:r w:rsidRPr="00163644">
        <w:rPr>
          <w:b/>
          <w:bCs/>
          <w:sz w:val="22"/>
          <w:szCs w:val="22"/>
          <w:u w:val="single"/>
        </w:rPr>
        <w:t>R E G U L A M I N</w:t>
      </w:r>
    </w:p>
    <w:p w:rsidR="00163644" w:rsidRDefault="00163644" w:rsidP="00163644">
      <w:pPr>
        <w:pStyle w:val="Default"/>
        <w:jc w:val="both"/>
        <w:outlineLvl w:val="0"/>
        <w:rPr>
          <w:b/>
          <w:bCs/>
          <w:sz w:val="22"/>
          <w:szCs w:val="22"/>
        </w:rPr>
      </w:pPr>
    </w:p>
    <w:p w:rsidR="0013671E" w:rsidRDefault="0013671E" w:rsidP="00163644">
      <w:pPr>
        <w:pStyle w:val="Default"/>
        <w:jc w:val="both"/>
        <w:outlineLvl w:val="0"/>
        <w:rPr>
          <w:b/>
          <w:bCs/>
          <w:sz w:val="22"/>
          <w:szCs w:val="22"/>
          <w:u w:val="single"/>
        </w:rPr>
      </w:pPr>
      <w:r w:rsidRPr="00163644">
        <w:rPr>
          <w:b/>
          <w:bCs/>
          <w:sz w:val="22"/>
          <w:szCs w:val="22"/>
          <w:u w:val="single"/>
        </w:rPr>
        <w:t xml:space="preserve">I. Zakres stosowania. </w:t>
      </w:r>
    </w:p>
    <w:p w:rsidR="00163644" w:rsidRPr="00163644" w:rsidRDefault="00163644" w:rsidP="00163644">
      <w:pPr>
        <w:pStyle w:val="Default"/>
        <w:jc w:val="both"/>
        <w:outlineLvl w:val="0"/>
        <w:rPr>
          <w:sz w:val="22"/>
          <w:szCs w:val="22"/>
          <w:u w:val="single"/>
        </w:rPr>
      </w:pPr>
    </w:p>
    <w:p w:rsidR="0013671E" w:rsidRDefault="0013671E" w:rsidP="00163644">
      <w:pPr>
        <w:pStyle w:val="Default"/>
        <w:jc w:val="both"/>
        <w:outlineLvl w:val="0"/>
        <w:rPr>
          <w:sz w:val="22"/>
          <w:szCs w:val="22"/>
        </w:rPr>
      </w:pPr>
      <w:r>
        <w:rPr>
          <w:b/>
          <w:bCs/>
          <w:sz w:val="22"/>
          <w:szCs w:val="22"/>
        </w:rPr>
        <w:t>1</w:t>
      </w:r>
      <w:r>
        <w:rPr>
          <w:sz w:val="22"/>
          <w:szCs w:val="22"/>
        </w:rPr>
        <w:t xml:space="preserve">. Niniejszy regulamin określa zasady rozliczania kosztów energii cieplnej dostarczanej na potrzeby centralnego ogrzewania i ciepłej wody użytkowej w lokalach użytkowych zlokalizowanych w Budynku Produkcyjno-Usługowo-Laboratoryjnym oraz Hali Centrum Technologicznego przy ul. Olszewskiego w Kielcach, należących do Gminy Kielce w imieniu której budynkami zarządza Kielecki Park Technologiczny. </w:t>
      </w:r>
    </w:p>
    <w:p w:rsidR="0013671E" w:rsidRDefault="0013671E" w:rsidP="00163644">
      <w:pPr>
        <w:pStyle w:val="Default"/>
        <w:jc w:val="both"/>
        <w:outlineLvl w:val="0"/>
        <w:rPr>
          <w:sz w:val="22"/>
          <w:szCs w:val="22"/>
        </w:rPr>
      </w:pPr>
      <w:r>
        <w:rPr>
          <w:b/>
          <w:bCs/>
          <w:sz w:val="22"/>
          <w:szCs w:val="22"/>
        </w:rPr>
        <w:t>2</w:t>
      </w:r>
      <w:r>
        <w:rPr>
          <w:sz w:val="22"/>
          <w:szCs w:val="22"/>
        </w:rPr>
        <w:t xml:space="preserve">. Przepisy niniejszego regulaminu obowiązują od dnia 5 kwietnia 2012r. </w:t>
      </w:r>
    </w:p>
    <w:p w:rsidR="00163644" w:rsidRDefault="00163644" w:rsidP="00163644">
      <w:pPr>
        <w:pStyle w:val="Default"/>
        <w:jc w:val="both"/>
        <w:outlineLvl w:val="0"/>
        <w:rPr>
          <w:b/>
          <w:bCs/>
          <w:sz w:val="22"/>
          <w:szCs w:val="22"/>
        </w:rPr>
      </w:pPr>
    </w:p>
    <w:p w:rsidR="0013671E" w:rsidRPr="00163644" w:rsidRDefault="0013671E" w:rsidP="00163644">
      <w:pPr>
        <w:pStyle w:val="Default"/>
        <w:jc w:val="both"/>
        <w:outlineLvl w:val="0"/>
        <w:rPr>
          <w:sz w:val="22"/>
          <w:szCs w:val="22"/>
          <w:u w:val="single"/>
        </w:rPr>
      </w:pPr>
      <w:r w:rsidRPr="00163644">
        <w:rPr>
          <w:b/>
          <w:bCs/>
          <w:sz w:val="22"/>
          <w:szCs w:val="22"/>
          <w:u w:val="single"/>
        </w:rPr>
        <w:t xml:space="preserve">II. Definicje i określenia. Postanowienia ogólne </w:t>
      </w:r>
    </w:p>
    <w:p w:rsidR="00163644" w:rsidRDefault="00163644" w:rsidP="00163644">
      <w:pPr>
        <w:pStyle w:val="Default"/>
        <w:spacing w:after="18"/>
        <w:jc w:val="both"/>
        <w:outlineLvl w:val="0"/>
        <w:rPr>
          <w:b/>
          <w:bCs/>
          <w:sz w:val="22"/>
          <w:szCs w:val="22"/>
        </w:rPr>
      </w:pPr>
    </w:p>
    <w:p w:rsidR="0013671E" w:rsidRDefault="0013671E" w:rsidP="00163644">
      <w:pPr>
        <w:pStyle w:val="Default"/>
        <w:spacing w:after="18"/>
        <w:jc w:val="both"/>
        <w:outlineLvl w:val="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1. KPT </w:t>
      </w:r>
      <w:r>
        <w:rPr>
          <w:sz w:val="22"/>
          <w:szCs w:val="22"/>
        </w:rPr>
        <w:t xml:space="preserve">– Kielecki Park Technologiczny </w:t>
      </w:r>
    </w:p>
    <w:p w:rsidR="0013671E" w:rsidRDefault="0013671E" w:rsidP="00163644">
      <w:pPr>
        <w:pStyle w:val="Default"/>
        <w:spacing w:after="18"/>
        <w:jc w:val="both"/>
        <w:outlineLvl w:val="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2. Lokal - </w:t>
      </w:r>
      <w:r>
        <w:rPr>
          <w:sz w:val="22"/>
          <w:szCs w:val="22"/>
        </w:rPr>
        <w:t xml:space="preserve">lokal użytkowy. </w:t>
      </w:r>
    </w:p>
    <w:p w:rsidR="0013671E" w:rsidRDefault="0013671E" w:rsidP="00163644">
      <w:pPr>
        <w:pStyle w:val="Default"/>
        <w:spacing w:after="18"/>
        <w:jc w:val="both"/>
        <w:outlineLvl w:val="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3. Użytkownik lokalu </w:t>
      </w:r>
      <w:r>
        <w:rPr>
          <w:sz w:val="22"/>
          <w:szCs w:val="22"/>
        </w:rPr>
        <w:t xml:space="preserve">- najemca lokalu użytkowego, na podstawie aktualnej umowy najmu. </w:t>
      </w:r>
    </w:p>
    <w:p w:rsidR="0013671E" w:rsidRDefault="0013671E" w:rsidP="00163644">
      <w:pPr>
        <w:pStyle w:val="Default"/>
        <w:spacing w:after="18"/>
        <w:jc w:val="both"/>
        <w:outlineLvl w:val="0"/>
        <w:rPr>
          <w:sz w:val="22"/>
          <w:szCs w:val="22"/>
        </w:rPr>
      </w:pPr>
      <w:r>
        <w:rPr>
          <w:b/>
          <w:bCs/>
          <w:sz w:val="22"/>
          <w:szCs w:val="22"/>
        </w:rPr>
        <w:t>4. Powierzchnia lokalu (</w:t>
      </w:r>
      <w:r>
        <w:rPr>
          <w:sz w:val="22"/>
          <w:szCs w:val="22"/>
        </w:rPr>
        <w:t xml:space="preserve">do rozliczenia kosztów ciepła) - powierzchnia użytkowa wszystkich pomieszczeń znajdujących się w lokalach, bez względu na ich przeznaczenie i sposób używania. Rozumie się przez to pomieszczenia, w których zainstalowane są grzejniki c.o., a także pomieszczenia nie posiadające grzejników c.o., wchodzące w skład lokalu np. korytarz, przynależna klatka schodowa , itp.. </w:t>
      </w:r>
    </w:p>
    <w:p w:rsidR="0013671E" w:rsidRDefault="0013671E" w:rsidP="00163644">
      <w:pPr>
        <w:pStyle w:val="Default"/>
        <w:jc w:val="both"/>
        <w:outlineLvl w:val="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5. Urządzenia pomiarowe - </w:t>
      </w:r>
      <w:r>
        <w:rPr>
          <w:sz w:val="22"/>
          <w:szCs w:val="22"/>
        </w:rPr>
        <w:t xml:space="preserve">w rozumieniu regulaminu są to liczniki ciepła oraz wodomierze , które są podzielnikami w rozliczeniu kosztów energii cieplnej. </w:t>
      </w:r>
    </w:p>
    <w:p w:rsidR="0013671E" w:rsidRDefault="0013671E" w:rsidP="00163644">
      <w:pPr>
        <w:pStyle w:val="Default"/>
        <w:spacing w:after="17"/>
        <w:jc w:val="both"/>
        <w:outlineLvl w:val="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6. </w:t>
      </w:r>
      <w:r>
        <w:rPr>
          <w:sz w:val="22"/>
          <w:szCs w:val="22"/>
        </w:rPr>
        <w:t xml:space="preserve">Kosztami energii cieplnej dostarczanej na potrzeby centralnego ogrzewania oraz ciepłej wody użytkowej są wydatki ponoszone przez KPT w związku z wytwarzaniem energii cieplnej dla potrzeb c.o. i </w:t>
      </w:r>
      <w:proofErr w:type="spellStart"/>
      <w:r>
        <w:rPr>
          <w:sz w:val="22"/>
          <w:szCs w:val="22"/>
        </w:rPr>
        <w:t>c.w</w:t>
      </w:r>
      <w:proofErr w:type="spellEnd"/>
      <w:r>
        <w:rPr>
          <w:sz w:val="22"/>
          <w:szCs w:val="22"/>
        </w:rPr>
        <w:t xml:space="preserve">., koszty zakupu zimnej wody i odprowadzenia ścieków dla </w:t>
      </w:r>
      <w:proofErr w:type="spellStart"/>
      <w:r>
        <w:rPr>
          <w:sz w:val="22"/>
          <w:szCs w:val="22"/>
        </w:rPr>
        <w:t>c.w</w:t>
      </w:r>
      <w:proofErr w:type="spellEnd"/>
      <w:r>
        <w:rPr>
          <w:sz w:val="22"/>
          <w:szCs w:val="22"/>
        </w:rPr>
        <w:t xml:space="preserve">. oraz utrzymania wymiennikowni oraz lokalnych kotłowni i urządzeń pomiarowych. </w:t>
      </w:r>
    </w:p>
    <w:p w:rsidR="0013671E" w:rsidRDefault="0013671E" w:rsidP="00163644">
      <w:pPr>
        <w:pStyle w:val="Default"/>
        <w:spacing w:after="17"/>
        <w:jc w:val="both"/>
        <w:outlineLvl w:val="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7. </w:t>
      </w:r>
      <w:r>
        <w:rPr>
          <w:sz w:val="22"/>
          <w:szCs w:val="22"/>
        </w:rPr>
        <w:t xml:space="preserve">Do wyżej wymienionych kosztów nie zalicza się kosztów utrzymania instalacji wewnętrznych c.o. i </w:t>
      </w:r>
      <w:proofErr w:type="spellStart"/>
      <w:r>
        <w:rPr>
          <w:sz w:val="22"/>
          <w:szCs w:val="22"/>
        </w:rPr>
        <w:t>c.w</w:t>
      </w:r>
      <w:proofErr w:type="spellEnd"/>
      <w:r>
        <w:rPr>
          <w:sz w:val="22"/>
          <w:szCs w:val="22"/>
        </w:rPr>
        <w:t xml:space="preserve">. w budynkach – które zaliczane są do kosztów utrzymania obiektów. </w:t>
      </w:r>
    </w:p>
    <w:p w:rsidR="0013671E" w:rsidRDefault="0013671E" w:rsidP="00163644">
      <w:pPr>
        <w:pStyle w:val="Default"/>
        <w:spacing w:after="17"/>
        <w:jc w:val="both"/>
        <w:outlineLvl w:val="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8. </w:t>
      </w:r>
      <w:r>
        <w:rPr>
          <w:sz w:val="22"/>
          <w:szCs w:val="22"/>
        </w:rPr>
        <w:t xml:space="preserve">Koszty wymienione w pkt. 7 pokrywane są przez indywidualnych użytkowników lokali w budynkach. </w:t>
      </w:r>
    </w:p>
    <w:p w:rsidR="0013671E" w:rsidRDefault="0013671E" w:rsidP="00163644">
      <w:pPr>
        <w:pStyle w:val="Default"/>
        <w:spacing w:after="17"/>
        <w:jc w:val="both"/>
        <w:outlineLvl w:val="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9. </w:t>
      </w:r>
      <w:r>
        <w:rPr>
          <w:sz w:val="22"/>
          <w:szCs w:val="22"/>
        </w:rPr>
        <w:t xml:space="preserve">Rozliczeń wyżej wymienionych kosztów dokonuje się w oparciu o system istniejących w budynkach urządzeń pomiarowo – rozliczeniowych (liczniki ciepła, wodomierze). </w:t>
      </w:r>
    </w:p>
    <w:p w:rsidR="0013671E" w:rsidRDefault="0013671E" w:rsidP="00163644">
      <w:pPr>
        <w:pStyle w:val="Default"/>
        <w:jc w:val="both"/>
        <w:outlineLvl w:val="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10. </w:t>
      </w:r>
      <w:r>
        <w:rPr>
          <w:sz w:val="22"/>
          <w:szCs w:val="22"/>
        </w:rPr>
        <w:t xml:space="preserve">Koszty energii cieplnej dla potrzeb c.o. rozlicza się raz w roku, przy czym okres rozliczeniowy wynosi 12 miesięcy. </w:t>
      </w:r>
    </w:p>
    <w:p w:rsidR="0013671E" w:rsidRDefault="0013671E" w:rsidP="00163644">
      <w:pPr>
        <w:pStyle w:val="Default"/>
        <w:spacing w:after="18"/>
        <w:jc w:val="both"/>
        <w:outlineLvl w:val="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11. </w:t>
      </w:r>
      <w:r>
        <w:rPr>
          <w:sz w:val="22"/>
          <w:szCs w:val="22"/>
        </w:rPr>
        <w:t xml:space="preserve">Koszty energii cieplnej dla potrzeb </w:t>
      </w:r>
      <w:proofErr w:type="spellStart"/>
      <w:r>
        <w:rPr>
          <w:sz w:val="22"/>
          <w:szCs w:val="22"/>
        </w:rPr>
        <w:t>c.w</w:t>
      </w:r>
      <w:proofErr w:type="spellEnd"/>
      <w:r>
        <w:rPr>
          <w:sz w:val="22"/>
          <w:szCs w:val="22"/>
        </w:rPr>
        <w:t xml:space="preserve">. rozlicza się co miesiąc. </w:t>
      </w:r>
    </w:p>
    <w:p w:rsidR="0013671E" w:rsidRDefault="0013671E" w:rsidP="00163644">
      <w:pPr>
        <w:pStyle w:val="Default"/>
        <w:jc w:val="both"/>
        <w:outlineLvl w:val="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12. </w:t>
      </w:r>
      <w:r>
        <w:rPr>
          <w:sz w:val="22"/>
          <w:szCs w:val="22"/>
        </w:rPr>
        <w:t xml:space="preserve">Rozliczeń dokonuje KPT samodzielnie lub przy pomocy wyspecjalizowanej firmy – na podstawie zawartej umowy. </w:t>
      </w:r>
    </w:p>
    <w:p w:rsidR="0013671E" w:rsidRPr="00163644" w:rsidRDefault="0013671E" w:rsidP="00163644">
      <w:pPr>
        <w:pStyle w:val="Default"/>
        <w:jc w:val="both"/>
        <w:outlineLvl w:val="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13. </w:t>
      </w:r>
      <w:r>
        <w:rPr>
          <w:sz w:val="22"/>
          <w:szCs w:val="22"/>
        </w:rPr>
        <w:t xml:space="preserve">Koszty rozliczeń (obsługi serwisowej) ponoszą indywidualni użytkownicy lokali. </w:t>
      </w:r>
    </w:p>
    <w:p w:rsidR="0013671E" w:rsidRDefault="0013671E" w:rsidP="00163644">
      <w:pPr>
        <w:pStyle w:val="Default"/>
        <w:jc w:val="both"/>
        <w:outlineLvl w:val="0"/>
        <w:rPr>
          <w:rFonts w:cs="Times New Roman"/>
          <w:color w:val="auto"/>
        </w:rPr>
      </w:pPr>
    </w:p>
    <w:p w:rsidR="0013671E" w:rsidRDefault="0013671E" w:rsidP="00163644">
      <w:pPr>
        <w:pStyle w:val="Default"/>
        <w:pageBreakBefore/>
        <w:jc w:val="both"/>
        <w:outlineLvl w:val="0"/>
        <w:rPr>
          <w:rFonts w:cs="Times New Roman"/>
          <w:color w:val="auto"/>
        </w:rPr>
      </w:pPr>
      <w:bookmarkStart w:id="0" w:name="_GoBack"/>
      <w:bookmarkEnd w:id="0"/>
    </w:p>
    <w:p w:rsidR="0013671E" w:rsidRDefault="0013671E" w:rsidP="00163644">
      <w:pPr>
        <w:pStyle w:val="Default"/>
        <w:jc w:val="both"/>
        <w:outlineLvl w:val="0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14. </w:t>
      </w:r>
      <w:r>
        <w:rPr>
          <w:color w:val="auto"/>
          <w:sz w:val="22"/>
          <w:szCs w:val="22"/>
        </w:rPr>
        <w:t xml:space="preserve">KPT ustala stawki opłat zaliczkowych oraz pobiera opłaty za c.o. i </w:t>
      </w:r>
      <w:proofErr w:type="spellStart"/>
      <w:r>
        <w:rPr>
          <w:color w:val="auto"/>
          <w:sz w:val="22"/>
          <w:szCs w:val="22"/>
        </w:rPr>
        <w:t>c.w</w:t>
      </w:r>
      <w:proofErr w:type="spellEnd"/>
      <w:r>
        <w:rPr>
          <w:color w:val="auto"/>
          <w:sz w:val="22"/>
          <w:szCs w:val="22"/>
        </w:rPr>
        <w:t xml:space="preserve">. Zaliczki na poczet c.o. stanowią odrębną pozycję od </w:t>
      </w:r>
      <w:r w:rsidR="00163644">
        <w:rPr>
          <w:color w:val="auto"/>
          <w:sz w:val="22"/>
          <w:szCs w:val="22"/>
        </w:rPr>
        <w:t xml:space="preserve">czynszu i wchodzą w skład opłat </w:t>
      </w:r>
      <w:r>
        <w:rPr>
          <w:color w:val="auto"/>
          <w:sz w:val="22"/>
          <w:szCs w:val="22"/>
        </w:rPr>
        <w:t xml:space="preserve">za wynajmowany lokal. </w:t>
      </w:r>
    </w:p>
    <w:p w:rsidR="00163644" w:rsidRDefault="00163644" w:rsidP="00163644">
      <w:pPr>
        <w:pStyle w:val="Default"/>
        <w:jc w:val="both"/>
        <w:outlineLvl w:val="0"/>
        <w:rPr>
          <w:color w:val="auto"/>
          <w:sz w:val="22"/>
          <w:szCs w:val="22"/>
        </w:rPr>
      </w:pPr>
    </w:p>
    <w:p w:rsidR="0013671E" w:rsidRPr="00163644" w:rsidRDefault="0013671E" w:rsidP="00163644">
      <w:pPr>
        <w:pStyle w:val="Default"/>
        <w:jc w:val="both"/>
        <w:outlineLvl w:val="0"/>
        <w:rPr>
          <w:color w:val="auto"/>
          <w:sz w:val="22"/>
          <w:szCs w:val="22"/>
          <w:u w:val="single"/>
        </w:rPr>
      </w:pPr>
      <w:r w:rsidRPr="00163644">
        <w:rPr>
          <w:b/>
          <w:bCs/>
          <w:color w:val="auto"/>
          <w:sz w:val="22"/>
          <w:szCs w:val="22"/>
          <w:u w:val="single"/>
        </w:rPr>
        <w:t xml:space="preserve">III. Zasady rozliczania kosztów energii cieplnej dostarczanej na potrzeby </w:t>
      </w:r>
      <w:r w:rsidRPr="00163644">
        <w:rPr>
          <w:noProof/>
          <w:u w:val="single"/>
          <w:lang w:eastAsia="pl-PL"/>
        </w:rPr>
        <w:drawing>
          <wp:anchor distT="0" distB="0" distL="114300" distR="114300" simplePos="0" relativeHeight="251661312" behindDoc="1" locked="0" layoutInCell="1" allowOverlap="1" wp14:anchorId="1D313CEE" wp14:editId="04FB381A">
            <wp:simplePos x="0" y="0"/>
            <wp:positionH relativeFrom="column">
              <wp:posOffset>-738505</wp:posOffset>
            </wp:positionH>
            <wp:positionV relativeFrom="paragraph">
              <wp:posOffset>-430530</wp:posOffset>
            </wp:positionV>
            <wp:extent cx="7587615" cy="9328785"/>
            <wp:effectExtent l="0" t="0" r="0" b="5715"/>
            <wp:wrapNone/>
            <wp:docPr id="1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86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69" r="673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7615" cy="932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671E" w:rsidRPr="00163644" w:rsidRDefault="0013671E" w:rsidP="00163644">
      <w:pPr>
        <w:pStyle w:val="Default"/>
        <w:jc w:val="both"/>
        <w:outlineLvl w:val="0"/>
        <w:rPr>
          <w:b/>
          <w:bCs/>
          <w:color w:val="auto"/>
          <w:sz w:val="22"/>
          <w:szCs w:val="22"/>
          <w:u w:val="single"/>
        </w:rPr>
      </w:pPr>
      <w:r w:rsidRPr="00163644">
        <w:rPr>
          <w:b/>
          <w:bCs/>
          <w:color w:val="auto"/>
          <w:sz w:val="22"/>
          <w:szCs w:val="22"/>
          <w:u w:val="single"/>
        </w:rPr>
        <w:t xml:space="preserve">centralnego ogrzewania w Hali Centrum Technologicznego. </w:t>
      </w:r>
    </w:p>
    <w:p w:rsidR="00163644" w:rsidRDefault="00163644" w:rsidP="00163644">
      <w:pPr>
        <w:pStyle w:val="Default"/>
        <w:jc w:val="both"/>
        <w:outlineLvl w:val="0"/>
        <w:rPr>
          <w:color w:val="auto"/>
          <w:sz w:val="22"/>
          <w:szCs w:val="22"/>
        </w:rPr>
      </w:pPr>
    </w:p>
    <w:p w:rsidR="0013671E" w:rsidRDefault="0013671E" w:rsidP="00163644">
      <w:pPr>
        <w:pStyle w:val="Default"/>
        <w:spacing w:after="18"/>
        <w:jc w:val="both"/>
        <w:outlineLvl w:val="0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1. </w:t>
      </w:r>
      <w:r>
        <w:rPr>
          <w:color w:val="auto"/>
          <w:sz w:val="22"/>
          <w:szCs w:val="22"/>
        </w:rPr>
        <w:t xml:space="preserve">Miesięczna zaliczka na pokrycie kosztów energii cieplnej dla potrzeb c.o. jest iloczynem powierzchni lokalu i prognozowanej stawki. </w:t>
      </w:r>
    </w:p>
    <w:p w:rsidR="0013671E" w:rsidRDefault="0013671E" w:rsidP="00163644">
      <w:pPr>
        <w:pStyle w:val="Default"/>
        <w:spacing w:after="18"/>
        <w:jc w:val="both"/>
        <w:outlineLvl w:val="0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2. </w:t>
      </w:r>
      <w:r>
        <w:rPr>
          <w:color w:val="auto"/>
          <w:sz w:val="22"/>
          <w:szCs w:val="22"/>
        </w:rPr>
        <w:t xml:space="preserve">Podstawą ustalania zaliczek miesięcznych na pokrycie kosztów energii cieplnej dla potrzeb c.o. są prognozowane przez KPT koszty wytwarzania energii cieplnej. </w:t>
      </w:r>
    </w:p>
    <w:p w:rsidR="0013671E" w:rsidRDefault="0013671E" w:rsidP="00163644">
      <w:pPr>
        <w:pStyle w:val="Default"/>
        <w:spacing w:after="18"/>
        <w:jc w:val="both"/>
        <w:outlineLvl w:val="0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3. </w:t>
      </w:r>
      <w:r>
        <w:rPr>
          <w:color w:val="auto"/>
          <w:sz w:val="22"/>
          <w:szCs w:val="22"/>
        </w:rPr>
        <w:t xml:space="preserve">Rozliczenie rocznych kosztów za c.o. następuje według wskazań urządzeń pomiarowych oraz powierzchni lokalu. </w:t>
      </w:r>
    </w:p>
    <w:p w:rsidR="0013671E" w:rsidRDefault="0013671E" w:rsidP="00163644">
      <w:pPr>
        <w:pStyle w:val="Default"/>
        <w:jc w:val="both"/>
        <w:outlineLvl w:val="0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4. </w:t>
      </w:r>
      <w:r>
        <w:rPr>
          <w:color w:val="auto"/>
          <w:sz w:val="22"/>
          <w:szCs w:val="22"/>
        </w:rPr>
        <w:t xml:space="preserve">Koszty za c.o. składają się z : </w:t>
      </w:r>
    </w:p>
    <w:p w:rsidR="0013671E" w:rsidRDefault="0013671E" w:rsidP="00163644">
      <w:pPr>
        <w:pStyle w:val="Default"/>
        <w:spacing w:after="17"/>
        <w:jc w:val="both"/>
        <w:outlineLvl w:val="0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a) </w:t>
      </w:r>
      <w:r>
        <w:rPr>
          <w:color w:val="auto"/>
          <w:sz w:val="22"/>
          <w:szCs w:val="22"/>
        </w:rPr>
        <w:t xml:space="preserve">kosztów stałych – proporcjonalnych do powierzchni lokalu, </w:t>
      </w:r>
    </w:p>
    <w:p w:rsidR="0013671E" w:rsidRDefault="0013671E" w:rsidP="00163644">
      <w:pPr>
        <w:pStyle w:val="Default"/>
        <w:jc w:val="both"/>
        <w:outlineLvl w:val="0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b) </w:t>
      </w:r>
      <w:r>
        <w:rPr>
          <w:color w:val="auto"/>
          <w:sz w:val="22"/>
          <w:szCs w:val="22"/>
        </w:rPr>
        <w:t xml:space="preserve">kosztów zmiennych – indywidualnych, ustalanych na podstawie urządzenia pomiarowego zainstalowanego dla danego lokalu. </w:t>
      </w:r>
    </w:p>
    <w:p w:rsidR="0013671E" w:rsidRDefault="0013671E" w:rsidP="00163644">
      <w:pPr>
        <w:pStyle w:val="Default"/>
        <w:spacing w:after="17"/>
        <w:jc w:val="both"/>
        <w:outlineLvl w:val="0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5. </w:t>
      </w:r>
      <w:r>
        <w:rPr>
          <w:color w:val="auto"/>
          <w:sz w:val="22"/>
          <w:szCs w:val="22"/>
        </w:rPr>
        <w:t xml:space="preserve">Wysokość kosztów stałych wyliczona jest na podstawie wskaźnika procentowego podziału kosztów zatwierdzonego przez Dyrektora KPT. </w:t>
      </w:r>
    </w:p>
    <w:p w:rsidR="0013671E" w:rsidRDefault="0013671E" w:rsidP="00163644">
      <w:pPr>
        <w:pStyle w:val="Default"/>
        <w:jc w:val="both"/>
        <w:outlineLvl w:val="0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6. </w:t>
      </w:r>
      <w:r>
        <w:rPr>
          <w:color w:val="auto"/>
          <w:sz w:val="22"/>
          <w:szCs w:val="22"/>
        </w:rPr>
        <w:t xml:space="preserve">Rozliczenia kosztów zmiennych c.o. dla lokali w których urządzenia pomiarowe uległy uszkodzeniu dokonuje się następująco: </w:t>
      </w:r>
    </w:p>
    <w:p w:rsidR="0013671E" w:rsidRDefault="0013671E" w:rsidP="00163644">
      <w:pPr>
        <w:pStyle w:val="Default"/>
        <w:spacing w:after="18"/>
        <w:jc w:val="both"/>
        <w:outlineLvl w:val="0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a) </w:t>
      </w:r>
      <w:r>
        <w:rPr>
          <w:color w:val="auto"/>
          <w:sz w:val="22"/>
          <w:szCs w:val="22"/>
        </w:rPr>
        <w:t xml:space="preserve">gdy uszkodzenie jest niezależne od użytkownika – na podstawie średniego wskazania urządzeń pomiarowych w danym obiekcie, przy uwzględnieniu dotychczasowego zużycia, </w:t>
      </w:r>
    </w:p>
    <w:p w:rsidR="0013671E" w:rsidRDefault="0013671E" w:rsidP="00163644">
      <w:pPr>
        <w:pStyle w:val="Default"/>
        <w:jc w:val="both"/>
        <w:outlineLvl w:val="0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b) </w:t>
      </w:r>
      <w:r>
        <w:rPr>
          <w:color w:val="auto"/>
          <w:sz w:val="22"/>
          <w:szCs w:val="22"/>
        </w:rPr>
        <w:t xml:space="preserve">gdy uszkodzenie nastąpiło z winy użytkownika – na podstawie najwyższego wskazania urządzenia pomiarowego w danym obiekcie. </w:t>
      </w:r>
    </w:p>
    <w:p w:rsidR="0013671E" w:rsidRDefault="0013671E" w:rsidP="00163644">
      <w:pPr>
        <w:pStyle w:val="Default"/>
        <w:jc w:val="both"/>
        <w:outlineLvl w:val="0"/>
        <w:rPr>
          <w:color w:val="auto"/>
          <w:sz w:val="22"/>
          <w:szCs w:val="22"/>
        </w:rPr>
      </w:pPr>
    </w:p>
    <w:p w:rsidR="0013671E" w:rsidRPr="00163644" w:rsidRDefault="0013671E" w:rsidP="00163644">
      <w:pPr>
        <w:pStyle w:val="Default"/>
        <w:jc w:val="both"/>
        <w:outlineLvl w:val="0"/>
        <w:rPr>
          <w:b/>
          <w:bCs/>
          <w:color w:val="auto"/>
          <w:sz w:val="22"/>
          <w:szCs w:val="22"/>
          <w:u w:val="single"/>
        </w:rPr>
      </w:pPr>
      <w:r w:rsidRPr="00163644">
        <w:rPr>
          <w:b/>
          <w:bCs/>
          <w:color w:val="auto"/>
          <w:sz w:val="22"/>
          <w:szCs w:val="22"/>
          <w:u w:val="single"/>
        </w:rPr>
        <w:t xml:space="preserve">IV. Zasady rozliczania kosztów energii cieplnej dostarczanej na potrzeby centralnego ogrzewania w Budynku Produkcyjno-Usługowo- Laboratoryjnym Centrum Technologicznego. </w:t>
      </w:r>
    </w:p>
    <w:p w:rsidR="00163644" w:rsidRDefault="00163644" w:rsidP="00163644">
      <w:pPr>
        <w:pStyle w:val="Default"/>
        <w:jc w:val="both"/>
        <w:outlineLvl w:val="0"/>
        <w:rPr>
          <w:color w:val="auto"/>
          <w:sz w:val="22"/>
          <w:szCs w:val="22"/>
        </w:rPr>
      </w:pPr>
    </w:p>
    <w:p w:rsidR="0013671E" w:rsidRDefault="0013671E" w:rsidP="00163644">
      <w:pPr>
        <w:pStyle w:val="Default"/>
        <w:spacing w:after="17"/>
        <w:jc w:val="both"/>
        <w:outlineLvl w:val="0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1. </w:t>
      </w:r>
      <w:r>
        <w:rPr>
          <w:color w:val="auto"/>
          <w:sz w:val="22"/>
          <w:szCs w:val="22"/>
        </w:rPr>
        <w:t xml:space="preserve">Miesięczna zaliczka na pokrycie kosztów energii cieplnej dla potrzeb c.o. jest iloczynem powierzchni lokalu i prognozowanej stawki. </w:t>
      </w:r>
    </w:p>
    <w:p w:rsidR="0013671E" w:rsidRDefault="0013671E" w:rsidP="00163644">
      <w:pPr>
        <w:pStyle w:val="Default"/>
        <w:spacing w:after="17"/>
        <w:jc w:val="both"/>
        <w:outlineLvl w:val="0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2. </w:t>
      </w:r>
      <w:r>
        <w:rPr>
          <w:color w:val="auto"/>
          <w:sz w:val="22"/>
          <w:szCs w:val="22"/>
        </w:rPr>
        <w:t xml:space="preserve">Podstawą ustalania zaliczek miesięcznych na pokrycie kosztów energii cieplnej dla potrzeb c.o. są prognozowane przez KPT koszty wytwarzania energii cieplnej. </w:t>
      </w:r>
    </w:p>
    <w:p w:rsidR="0013671E" w:rsidRDefault="0013671E" w:rsidP="00163644">
      <w:pPr>
        <w:pStyle w:val="Default"/>
        <w:jc w:val="both"/>
        <w:outlineLvl w:val="0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3. </w:t>
      </w:r>
      <w:r>
        <w:rPr>
          <w:color w:val="auto"/>
          <w:sz w:val="22"/>
          <w:szCs w:val="22"/>
        </w:rPr>
        <w:t xml:space="preserve">Rozliczenie rocznych kosztów wytworzenia energii cieplnej następuje wg. powierzchni lokalu ( iloczyn powierzchni lokalu i wyliczonej stawki za ogrzanie 1m2 powierzchni lokalu za okres rozliczeniowy). </w:t>
      </w:r>
    </w:p>
    <w:p w:rsidR="0013671E" w:rsidRDefault="0013671E" w:rsidP="00163644">
      <w:pPr>
        <w:pStyle w:val="Default"/>
        <w:jc w:val="both"/>
        <w:outlineLvl w:val="0"/>
        <w:rPr>
          <w:color w:val="auto"/>
          <w:sz w:val="22"/>
          <w:szCs w:val="22"/>
        </w:rPr>
      </w:pPr>
    </w:p>
    <w:p w:rsidR="00163644" w:rsidRPr="00163644" w:rsidRDefault="0013671E" w:rsidP="00163644">
      <w:pPr>
        <w:pStyle w:val="Default"/>
        <w:jc w:val="both"/>
        <w:outlineLvl w:val="0"/>
        <w:rPr>
          <w:b/>
          <w:bCs/>
          <w:color w:val="auto"/>
          <w:sz w:val="22"/>
          <w:szCs w:val="22"/>
          <w:u w:val="single"/>
        </w:rPr>
      </w:pPr>
      <w:r w:rsidRPr="00163644">
        <w:rPr>
          <w:b/>
          <w:bCs/>
          <w:color w:val="auto"/>
          <w:sz w:val="22"/>
          <w:szCs w:val="22"/>
          <w:u w:val="single"/>
        </w:rPr>
        <w:t>V. Zasady rozliczania kosztów dostawy ciepłej wody użytkowej</w:t>
      </w:r>
    </w:p>
    <w:p w:rsidR="0013671E" w:rsidRDefault="0013671E" w:rsidP="00163644">
      <w:pPr>
        <w:pStyle w:val="Default"/>
        <w:jc w:val="both"/>
        <w:outlineLvl w:val="0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</w:t>
      </w:r>
    </w:p>
    <w:p w:rsidR="0013671E" w:rsidRDefault="0013671E" w:rsidP="00163644">
      <w:pPr>
        <w:pStyle w:val="Default"/>
        <w:spacing w:after="18"/>
        <w:jc w:val="both"/>
        <w:outlineLvl w:val="0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1. </w:t>
      </w:r>
      <w:r>
        <w:rPr>
          <w:color w:val="auto"/>
          <w:sz w:val="22"/>
          <w:szCs w:val="22"/>
        </w:rPr>
        <w:t xml:space="preserve">Miesięczny koszt </w:t>
      </w:r>
      <w:proofErr w:type="spellStart"/>
      <w:r>
        <w:rPr>
          <w:color w:val="auto"/>
          <w:sz w:val="22"/>
          <w:szCs w:val="22"/>
        </w:rPr>
        <w:t>c.w</w:t>
      </w:r>
      <w:proofErr w:type="spellEnd"/>
      <w:r>
        <w:rPr>
          <w:color w:val="auto"/>
          <w:sz w:val="22"/>
          <w:szCs w:val="22"/>
        </w:rPr>
        <w:t>. dostarczanej dla danego lokalu ustala się mnożąc sumę wskazań wodomierza ciepłej wody dla lokalu przez stawkę rzeczywistą 1m</w:t>
      </w:r>
      <w:r>
        <w:rPr>
          <w:color w:val="auto"/>
          <w:sz w:val="14"/>
          <w:szCs w:val="14"/>
        </w:rPr>
        <w:t xml:space="preserve">3 </w:t>
      </w:r>
      <w:r>
        <w:rPr>
          <w:color w:val="auto"/>
          <w:sz w:val="22"/>
          <w:szCs w:val="22"/>
        </w:rPr>
        <w:t>ciepłej wody, stanowiącą sumę poniesionych rzeczywistych kosztów podgrzania 1 m</w:t>
      </w:r>
      <w:r>
        <w:rPr>
          <w:color w:val="auto"/>
          <w:sz w:val="14"/>
          <w:szCs w:val="14"/>
        </w:rPr>
        <w:t xml:space="preserve">3 </w:t>
      </w:r>
      <w:r>
        <w:rPr>
          <w:color w:val="auto"/>
          <w:sz w:val="22"/>
          <w:szCs w:val="22"/>
        </w:rPr>
        <w:t xml:space="preserve">zimnej wody oraz kosztów zakupu wody i odprowadzenia ścieków dla celów </w:t>
      </w:r>
      <w:proofErr w:type="spellStart"/>
      <w:r>
        <w:rPr>
          <w:color w:val="auto"/>
          <w:sz w:val="22"/>
          <w:szCs w:val="22"/>
        </w:rPr>
        <w:t>c.w</w:t>
      </w:r>
      <w:proofErr w:type="spellEnd"/>
      <w:r>
        <w:rPr>
          <w:color w:val="auto"/>
          <w:sz w:val="22"/>
          <w:szCs w:val="22"/>
        </w:rPr>
        <w:t xml:space="preserve">. </w:t>
      </w:r>
    </w:p>
    <w:p w:rsidR="0013671E" w:rsidRDefault="0013671E" w:rsidP="00163644">
      <w:pPr>
        <w:pStyle w:val="Default"/>
        <w:jc w:val="both"/>
        <w:outlineLvl w:val="0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2. </w:t>
      </w:r>
      <w:r>
        <w:rPr>
          <w:color w:val="auto"/>
          <w:sz w:val="22"/>
          <w:szCs w:val="22"/>
        </w:rPr>
        <w:t xml:space="preserve">W przypadku uszkodzenia urządzenia pomiarowego podstawą do obliczenia wysokości opłaty są wskazania z porównywalnego okresu wcześniejszego. </w:t>
      </w:r>
    </w:p>
    <w:p w:rsidR="0013671E" w:rsidRDefault="0013671E" w:rsidP="00163644">
      <w:pPr>
        <w:pStyle w:val="Default"/>
        <w:jc w:val="both"/>
        <w:outlineLvl w:val="0"/>
        <w:rPr>
          <w:color w:val="auto"/>
          <w:sz w:val="18"/>
          <w:szCs w:val="18"/>
        </w:rPr>
      </w:pPr>
    </w:p>
    <w:p w:rsidR="0013671E" w:rsidRDefault="0013671E" w:rsidP="00163644">
      <w:pPr>
        <w:pStyle w:val="Default"/>
        <w:jc w:val="both"/>
        <w:outlineLvl w:val="0"/>
        <w:rPr>
          <w:rFonts w:cs="Times New Roman"/>
          <w:color w:val="auto"/>
        </w:rPr>
      </w:pPr>
    </w:p>
    <w:p w:rsidR="0013671E" w:rsidRPr="00163644" w:rsidRDefault="0013671E" w:rsidP="00163644">
      <w:pPr>
        <w:pStyle w:val="Default"/>
        <w:pageBreakBefore/>
        <w:jc w:val="both"/>
        <w:outlineLvl w:val="0"/>
        <w:rPr>
          <w:color w:val="auto"/>
          <w:sz w:val="22"/>
          <w:szCs w:val="22"/>
          <w:u w:val="single"/>
        </w:rPr>
      </w:pPr>
      <w:r w:rsidRPr="00163644">
        <w:rPr>
          <w:noProof/>
          <w:u w:val="single"/>
          <w:lang w:eastAsia="pl-PL"/>
        </w:rPr>
        <w:lastRenderedPageBreak/>
        <w:drawing>
          <wp:anchor distT="0" distB="0" distL="114300" distR="114300" simplePos="0" relativeHeight="251663360" behindDoc="1" locked="0" layoutInCell="1" allowOverlap="1" wp14:anchorId="07EC7A95" wp14:editId="16275377">
            <wp:simplePos x="0" y="0"/>
            <wp:positionH relativeFrom="column">
              <wp:posOffset>-585470</wp:posOffset>
            </wp:positionH>
            <wp:positionV relativeFrom="paragraph">
              <wp:posOffset>14605</wp:posOffset>
            </wp:positionV>
            <wp:extent cx="7584440" cy="9896475"/>
            <wp:effectExtent l="0" t="0" r="0" b="9525"/>
            <wp:wrapNone/>
            <wp:docPr id="2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86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69" r="673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4440" cy="9896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3644">
        <w:rPr>
          <w:b/>
          <w:bCs/>
          <w:color w:val="auto"/>
          <w:sz w:val="22"/>
          <w:szCs w:val="22"/>
          <w:u w:val="single"/>
        </w:rPr>
        <w:t>V</w:t>
      </w:r>
      <w:r w:rsidR="00163644" w:rsidRPr="00163644">
        <w:rPr>
          <w:b/>
          <w:bCs/>
          <w:color w:val="auto"/>
          <w:sz w:val="22"/>
          <w:szCs w:val="22"/>
          <w:u w:val="single"/>
        </w:rPr>
        <w:t>I</w:t>
      </w:r>
      <w:r w:rsidRPr="00163644">
        <w:rPr>
          <w:b/>
          <w:bCs/>
          <w:color w:val="auto"/>
          <w:sz w:val="22"/>
          <w:szCs w:val="22"/>
          <w:u w:val="single"/>
        </w:rPr>
        <w:t xml:space="preserve">. Postanowienia dodatkowe </w:t>
      </w:r>
    </w:p>
    <w:p w:rsidR="00163644" w:rsidRDefault="00163644" w:rsidP="00163644">
      <w:pPr>
        <w:pStyle w:val="Default"/>
        <w:spacing w:after="17"/>
        <w:jc w:val="both"/>
        <w:outlineLvl w:val="0"/>
        <w:rPr>
          <w:b/>
          <w:bCs/>
          <w:color w:val="auto"/>
          <w:sz w:val="22"/>
          <w:szCs w:val="22"/>
        </w:rPr>
      </w:pPr>
    </w:p>
    <w:p w:rsidR="0013671E" w:rsidRDefault="0013671E" w:rsidP="00163644">
      <w:pPr>
        <w:pStyle w:val="Default"/>
        <w:spacing w:after="17"/>
        <w:jc w:val="both"/>
        <w:outlineLvl w:val="0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1. </w:t>
      </w:r>
      <w:r>
        <w:rPr>
          <w:color w:val="auto"/>
          <w:sz w:val="22"/>
          <w:szCs w:val="22"/>
        </w:rPr>
        <w:t xml:space="preserve">Użytkownik lokalu zobowiązany jest do wnoszenia zaliczkowych opłat miesięcznych za zużycie energii cieplnej na potrzeby c.o. w ciągu całego okresu rozliczeniowego - należności te wnoszone są łącznie z innymi opłatami z tytułu użytkowania lokalu. </w:t>
      </w:r>
    </w:p>
    <w:p w:rsidR="0013671E" w:rsidRDefault="0013671E" w:rsidP="00163644">
      <w:pPr>
        <w:pStyle w:val="Default"/>
        <w:jc w:val="both"/>
        <w:outlineLvl w:val="0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2. </w:t>
      </w:r>
      <w:r>
        <w:rPr>
          <w:color w:val="auto"/>
          <w:sz w:val="22"/>
          <w:szCs w:val="22"/>
        </w:rPr>
        <w:t xml:space="preserve">O zmianie wysokości opłat zaliczkowych KPT zawiadamia użytkowników lokali na piśmie . </w:t>
      </w:r>
    </w:p>
    <w:p w:rsidR="0013671E" w:rsidRDefault="0013671E" w:rsidP="00163644">
      <w:pPr>
        <w:pStyle w:val="Default"/>
        <w:jc w:val="both"/>
        <w:outlineLvl w:val="0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3. </w:t>
      </w:r>
      <w:r>
        <w:rPr>
          <w:color w:val="auto"/>
          <w:sz w:val="22"/>
          <w:szCs w:val="22"/>
        </w:rPr>
        <w:t xml:space="preserve">Odczyty wskazań urządzeń pomiarowych </w:t>
      </w:r>
      <w:proofErr w:type="spellStart"/>
      <w:r>
        <w:rPr>
          <w:color w:val="auto"/>
          <w:sz w:val="22"/>
          <w:szCs w:val="22"/>
        </w:rPr>
        <w:t>c.w</w:t>
      </w:r>
      <w:proofErr w:type="spellEnd"/>
      <w:r>
        <w:rPr>
          <w:color w:val="auto"/>
          <w:sz w:val="22"/>
          <w:szCs w:val="22"/>
        </w:rPr>
        <w:t xml:space="preserve">. dokonywane są miesięcznie dla rozliczenia opłat za dostawę </w:t>
      </w:r>
      <w:proofErr w:type="spellStart"/>
      <w:r>
        <w:rPr>
          <w:color w:val="auto"/>
          <w:sz w:val="22"/>
          <w:szCs w:val="22"/>
        </w:rPr>
        <w:t>c.w</w:t>
      </w:r>
      <w:proofErr w:type="spellEnd"/>
      <w:r>
        <w:rPr>
          <w:color w:val="auto"/>
          <w:sz w:val="22"/>
          <w:szCs w:val="22"/>
        </w:rPr>
        <w:t xml:space="preserve">. </w:t>
      </w:r>
    </w:p>
    <w:p w:rsidR="0013671E" w:rsidRDefault="0013671E" w:rsidP="00163644">
      <w:pPr>
        <w:pStyle w:val="Default"/>
        <w:spacing w:after="18"/>
        <w:jc w:val="both"/>
        <w:outlineLvl w:val="0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4. </w:t>
      </w:r>
      <w:r>
        <w:rPr>
          <w:color w:val="auto"/>
          <w:sz w:val="22"/>
          <w:szCs w:val="22"/>
        </w:rPr>
        <w:t xml:space="preserve">Odczyty wskazań urządzeń pomiarowych c.o. są dokonywane raz w roku. </w:t>
      </w:r>
    </w:p>
    <w:p w:rsidR="0013671E" w:rsidRDefault="0013671E" w:rsidP="00163644">
      <w:pPr>
        <w:pStyle w:val="Default"/>
        <w:spacing w:after="18"/>
        <w:jc w:val="both"/>
        <w:outlineLvl w:val="0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5. </w:t>
      </w:r>
      <w:r>
        <w:rPr>
          <w:color w:val="auto"/>
          <w:sz w:val="22"/>
          <w:szCs w:val="22"/>
        </w:rPr>
        <w:t xml:space="preserve">Odczyty końcowe ciepłomierzy c.o. będą dokonywane w obecności Użytkownika. </w:t>
      </w:r>
    </w:p>
    <w:p w:rsidR="0013671E" w:rsidRDefault="0013671E" w:rsidP="00163644">
      <w:pPr>
        <w:pStyle w:val="Default"/>
        <w:spacing w:after="18"/>
        <w:jc w:val="both"/>
        <w:outlineLvl w:val="0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6. </w:t>
      </w:r>
      <w:r>
        <w:rPr>
          <w:color w:val="auto"/>
          <w:sz w:val="22"/>
          <w:szCs w:val="22"/>
        </w:rPr>
        <w:t xml:space="preserve">W przypadku zmiany Najemcy w trakcie trwania okresu rozliczeniowego rozliczenie kosztów c.o. i </w:t>
      </w:r>
      <w:proofErr w:type="spellStart"/>
      <w:r>
        <w:rPr>
          <w:color w:val="auto"/>
          <w:sz w:val="22"/>
          <w:szCs w:val="22"/>
        </w:rPr>
        <w:t>c.w</w:t>
      </w:r>
      <w:proofErr w:type="spellEnd"/>
      <w:r>
        <w:rPr>
          <w:color w:val="auto"/>
          <w:sz w:val="22"/>
          <w:szCs w:val="22"/>
        </w:rPr>
        <w:t xml:space="preserve">. w tym lokalu na podstawie wskazania urządzeń pomiarowych oraz danych kosztów z poprzedniego okresu rozliczeniowego, przy uwzględnieniu ewentualnych podwyżek i inflacji. </w:t>
      </w:r>
    </w:p>
    <w:p w:rsidR="0013671E" w:rsidRDefault="0013671E" w:rsidP="00163644">
      <w:pPr>
        <w:pStyle w:val="Default"/>
        <w:spacing w:after="18"/>
        <w:jc w:val="both"/>
        <w:outlineLvl w:val="0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7. </w:t>
      </w:r>
      <w:r>
        <w:rPr>
          <w:color w:val="auto"/>
          <w:sz w:val="22"/>
          <w:szCs w:val="22"/>
        </w:rPr>
        <w:t xml:space="preserve">Końcowe rozliczenie kosztów c.o. następuje w terminie 60 dni po zakończeniu okresu rozliczeniowego. Termin ten może ulec zmianie w przypadku wystąpienia przyczyn niezależnych od KPT. </w:t>
      </w:r>
    </w:p>
    <w:p w:rsidR="0013671E" w:rsidRDefault="0013671E" w:rsidP="00163644">
      <w:pPr>
        <w:pStyle w:val="Default"/>
        <w:spacing w:after="18"/>
        <w:jc w:val="both"/>
        <w:outlineLvl w:val="0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8. </w:t>
      </w:r>
      <w:r>
        <w:rPr>
          <w:color w:val="auto"/>
          <w:sz w:val="22"/>
          <w:szCs w:val="22"/>
        </w:rPr>
        <w:t xml:space="preserve">Reklamacje dotyczące indywidualnych rozliczeń mogą być składane w terminie 10 dni od daty otrzymania rozliczenia. Reklamacje są rozpatrywane w ciągu 30 dni od upływu terminu ich składania. Złożenie reklamacji wstrzymuje rozliczenie indywidualnego odbiorcy do momentu jej wyjaśnienia. </w:t>
      </w:r>
    </w:p>
    <w:p w:rsidR="0013671E" w:rsidRDefault="0013671E" w:rsidP="00163644">
      <w:pPr>
        <w:pStyle w:val="Default"/>
        <w:spacing w:after="18"/>
        <w:jc w:val="both"/>
        <w:outlineLvl w:val="0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9. </w:t>
      </w:r>
      <w:r>
        <w:rPr>
          <w:color w:val="auto"/>
          <w:sz w:val="22"/>
          <w:szCs w:val="22"/>
        </w:rPr>
        <w:t xml:space="preserve">Odmowa przyjęcia rozliczenia przez użytkownika lokalu w okresie ich wydawania lub dostarczania, nie stanowi podstawy do przedłużenia terminu składania reklamacji, który w tym wypadku liczony będzie od daty ich udostępnienia przez KPT. </w:t>
      </w:r>
    </w:p>
    <w:p w:rsidR="0013671E" w:rsidRDefault="0013671E" w:rsidP="00163644">
      <w:pPr>
        <w:pStyle w:val="Default"/>
        <w:spacing w:after="18"/>
        <w:jc w:val="both"/>
        <w:outlineLvl w:val="0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10. </w:t>
      </w:r>
      <w:r>
        <w:rPr>
          <w:color w:val="auto"/>
          <w:sz w:val="22"/>
          <w:szCs w:val="22"/>
        </w:rPr>
        <w:t xml:space="preserve">Nadpłaty, w przypadku braku zobowiązań wobec KPT, będą przeniesione na poczet opłat czynszowych następnych miesięcy lub na pisemny wniosek Użytkownika mogą być zwrócone na konto Użytkownika. W przypadku zobowiązań wobec KPT (np.: zaległości z tytułu czynszu, odsetki itp.) nadpłatę przekazuje się na poczet spłaty w/w zobowiązań. </w:t>
      </w:r>
    </w:p>
    <w:p w:rsidR="0013671E" w:rsidRDefault="0013671E" w:rsidP="00163644">
      <w:pPr>
        <w:pStyle w:val="Default"/>
        <w:spacing w:after="18"/>
        <w:jc w:val="both"/>
        <w:outlineLvl w:val="0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11. </w:t>
      </w:r>
      <w:r>
        <w:rPr>
          <w:color w:val="auto"/>
          <w:sz w:val="22"/>
          <w:szCs w:val="22"/>
        </w:rPr>
        <w:t xml:space="preserve">Niedopłaty powinny być uregulowane w terminie 30 dni od daty otrzymania rozliczenia. </w:t>
      </w:r>
    </w:p>
    <w:p w:rsidR="0013671E" w:rsidRDefault="0013671E" w:rsidP="00163644">
      <w:pPr>
        <w:pStyle w:val="Default"/>
        <w:jc w:val="both"/>
        <w:outlineLvl w:val="0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12. </w:t>
      </w:r>
      <w:r>
        <w:rPr>
          <w:color w:val="auto"/>
          <w:sz w:val="22"/>
          <w:szCs w:val="22"/>
        </w:rPr>
        <w:t xml:space="preserve">Użytkownikowi nie przysługuje prawo do roszczenia o odsetki w przypadku wystąpienia nadpłaty, a KPT nie będzie naliczać odsetek z tytułu niedopłaty jaka wynikła z rozliczenia wyżej wymienionych opłat – przy zachowaniu terminów określonych w niniejszym regulaminie. </w:t>
      </w:r>
    </w:p>
    <w:p w:rsidR="0013671E" w:rsidRDefault="0013671E" w:rsidP="00163644">
      <w:pPr>
        <w:pStyle w:val="Default"/>
        <w:jc w:val="both"/>
        <w:outlineLvl w:val="0"/>
        <w:rPr>
          <w:color w:val="auto"/>
          <w:sz w:val="22"/>
          <w:szCs w:val="22"/>
        </w:rPr>
      </w:pPr>
    </w:p>
    <w:p w:rsidR="0013671E" w:rsidRPr="00163644" w:rsidRDefault="0013671E" w:rsidP="00163644">
      <w:pPr>
        <w:pStyle w:val="Default"/>
        <w:jc w:val="both"/>
        <w:outlineLvl w:val="0"/>
        <w:rPr>
          <w:b/>
          <w:bCs/>
          <w:color w:val="auto"/>
          <w:sz w:val="22"/>
          <w:szCs w:val="22"/>
          <w:u w:val="single"/>
        </w:rPr>
      </w:pPr>
      <w:r w:rsidRPr="00163644">
        <w:rPr>
          <w:b/>
          <w:bCs/>
          <w:color w:val="auto"/>
          <w:sz w:val="22"/>
          <w:szCs w:val="22"/>
          <w:u w:val="single"/>
        </w:rPr>
        <w:t>VI</w:t>
      </w:r>
      <w:r w:rsidR="00163644">
        <w:rPr>
          <w:b/>
          <w:bCs/>
          <w:color w:val="auto"/>
          <w:sz w:val="22"/>
          <w:szCs w:val="22"/>
          <w:u w:val="single"/>
        </w:rPr>
        <w:t>I</w:t>
      </w:r>
      <w:r w:rsidRPr="00163644">
        <w:rPr>
          <w:b/>
          <w:bCs/>
          <w:color w:val="auto"/>
          <w:sz w:val="22"/>
          <w:szCs w:val="22"/>
          <w:u w:val="single"/>
        </w:rPr>
        <w:t xml:space="preserve">. Zasady eksploatacji instalacji grzewczych. </w:t>
      </w:r>
    </w:p>
    <w:p w:rsidR="00163644" w:rsidRDefault="00163644" w:rsidP="00163644">
      <w:pPr>
        <w:pStyle w:val="Default"/>
        <w:jc w:val="both"/>
        <w:outlineLvl w:val="0"/>
        <w:rPr>
          <w:color w:val="auto"/>
          <w:sz w:val="22"/>
          <w:szCs w:val="22"/>
        </w:rPr>
      </w:pPr>
    </w:p>
    <w:p w:rsidR="0013671E" w:rsidRDefault="0013671E" w:rsidP="00163644">
      <w:pPr>
        <w:pStyle w:val="Default"/>
        <w:jc w:val="both"/>
        <w:outlineLvl w:val="0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1. </w:t>
      </w:r>
      <w:r>
        <w:rPr>
          <w:color w:val="auto"/>
          <w:sz w:val="22"/>
          <w:szCs w:val="22"/>
        </w:rPr>
        <w:t xml:space="preserve">Użytkownik nie może samowolnie dokonywać jakichkolwiek przeróbek zaworów grzejnikowych, </w:t>
      </w:r>
      <w:proofErr w:type="spellStart"/>
      <w:r>
        <w:rPr>
          <w:color w:val="auto"/>
          <w:sz w:val="22"/>
          <w:szCs w:val="22"/>
        </w:rPr>
        <w:t>kryzowań</w:t>
      </w:r>
      <w:proofErr w:type="spellEnd"/>
      <w:r>
        <w:rPr>
          <w:color w:val="auto"/>
          <w:sz w:val="22"/>
          <w:szCs w:val="22"/>
        </w:rPr>
        <w:t xml:space="preserve"> lub manipulować przy licznikach ciepła. </w:t>
      </w:r>
    </w:p>
    <w:p w:rsidR="0013671E" w:rsidRDefault="0013671E" w:rsidP="00163644">
      <w:pPr>
        <w:pStyle w:val="Default"/>
        <w:jc w:val="both"/>
        <w:outlineLvl w:val="0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2. </w:t>
      </w:r>
      <w:r>
        <w:rPr>
          <w:color w:val="auto"/>
          <w:sz w:val="22"/>
          <w:szCs w:val="22"/>
        </w:rPr>
        <w:t xml:space="preserve">Grzejnik, w celu ich prawidłowego funkcjonowania, nie powinien być zasłaniany np. przez obudowy. </w:t>
      </w:r>
    </w:p>
    <w:p w:rsidR="0013671E" w:rsidRDefault="0013671E" w:rsidP="00163644">
      <w:pPr>
        <w:pStyle w:val="Default"/>
        <w:jc w:val="both"/>
        <w:outlineLvl w:val="0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3. </w:t>
      </w:r>
      <w:r>
        <w:rPr>
          <w:color w:val="auto"/>
          <w:sz w:val="22"/>
          <w:szCs w:val="22"/>
        </w:rPr>
        <w:t xml:space="preserve">Najemca lokalu nie może dokonywać samodzielnie przeróbek instalacji c.o. bez zgody KPT. </w:t>
      </w:r>
    </w:p>
    <w:p w:rsidR="0013671E" w:rsidRDefault="0013671E" w:rsidP="0013671E">
      <w:pPr>
        <w:pStyle w:val="Default"/>
        <w:rPr>
          <w:color w:val="auto"/>
          <w:sz w:val="22"/>
          <w:szCs w:val="22"/>
        </w:rPr>
      </w:pPr>
    </w:p>
    <w:p w:rsidR="00163644" w:rsidRDefault="00163644" w:rsidP="00163644">
      <w:pPr>
        <w:pStyle w:val="Default"/>
        <w:ind w:left="6372" w:firstLine="708"/>
        <w:rPr>
          <w:b/>
          <w:bCs/>
          <w:color w:val="auto"/>
          <w:sz w:val="22"/>
          <w:szCs w:val="22"/>
        </w:rPr>
      </w:pPr>
    </w:p>
    <w:p w:rsidR="00163644" w:rsidRDefault="00163644" w:rsidP="00163644">
      <w:pPr>
        <w:pStyle w:val="Default"/>
        <w:ind w:left="6372" w:firstLine="708"/>
        <w:rPr>
          <w:b/>
          <w:bCs/>
          <w:color w:val="auto"/>
          <w:sz w:val="22"/>
          <w:szCs w:val="22"/>
        </w:rPr>
      </w:pPr>
    </w:p>
    <w:p w:rsidR="00163644" w:rsidRDefault="00163644" w:rsidP="00163644">
      <w:pPr>
        <w:pStyle w:val="Default"/>
        <w:ind w:left="6372" w:firstLine="708"/>
        <w:rPr>
          <w:b/>
          <w:bCs/>
          <w:color w:val="auto"/>
          <w:sz w:val="22"/>
          <w:szCs w:val="22"/>
        </w:rPr>
      </w:pPr>
    </w:p>
    <w:p w:rsidR="0013671E" w:rsidRDefault="0013671E" w:rsidP="00163644">
      <w:pPr>
        <w:pStyle w:val="Default"/>
        <w:ind w:left="6372" w:firstLine="708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Dyrektor </w:t>
      </w:r>
    </w:p>
    <w:p w:rsidR="0013671E" w:rsidRDefault="0013671E" w:rsidP="00163644">
      <w:pPr>
        <w:pStyle w:val="Default"/>
        <w:ind w:left="5664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Kieleckiego Parku Technologicznego </w:t>
      </w:r>
    </w:p>
    <w:p w:rsidR="0013671E" w:rsidRDefault="0013671E" w:rsidP="00163644">
      <w:pPr>
        <w:pStyle w:val="Default"/>
        <w:ind w:left="5664" w:firstLine="70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Szymon Mazurkiewicz </w:t>
      </w:r>
    </w:p>
    <w:p w:rsidR="0013671E" w:rsidRDefault="0013671E" w:rsidP="00163644">
      <w:pPr>
        <w:pStyle w:val="Default"/>
        <w:ind w:left="5664" w:firstLine="70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/podpisano w oryginale/ </w:t>
      </w:r>
    </w:p>
    <w:p w:rsidR="00163644" w:rsidRDefault="00163644" w:rsidP="0013671E"/>
    <w:p w:rsidR="00163644" w:rsidRDefault="00163644" w:rsidP="0013671E"/>
    <w:p w:rsidR="00956AA6" w:rsidRPr="007C2A7F" w:rsidRDefault="0013671E" w:rsidP="0013671E">
      <w:pPr>
        <w:rPr>
          <w:b/>
        </w:rPr>
      </w:pPr>
      <w:r>
        <w:t>Kielce, dnia 5 kwietnia 2012 r.</w:t>
      </w:r>
    </w:p>
    <w:sectPr w:rsidR="00956AA6" w:rsidRPr="007C2A7F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208D" w:rsidRDefault="0062208D" w:rsidP="0074337C">
      <w:r>
        <w:separator/>
      </w:r>
    </w:p>
  </w:endnote>
  <w:endnote w:type="continuationSeparator" w:id="0">
    <w:p w:rsidR="0062208D" w:rsidRDefault="0062208D" w:rsidP="00743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98691353"/>
      <w:docPartObj>
        <w:docPartGallery w:val="Page Numbers (Bottom of Page)"/>
        <w:docPartUnique/>
      </w:docPartObj>
    </w:sdtPr>
    <w:sdtEndPr/>
    <w:sdtContent>
      <w:p w:rsidR="0074337C" w:rsidRDefault="0074337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3644">
          <w:rPr>
            <w:noProof/>
          </w:rPr>
          <w:t>1</w:t>
        </w:r>
        <w:r>
          <w:fldChar w:fldCharType="end"/>
        </w:r>
      </w:p>
    </w:sdtContent>
  </w:sdt>
  <w:p w:rsidR="0074337C" w:rsidRDefault="007433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208D" w:rsidRDefault="0062208D" w:rsidP="0074337C">
      <w:r>
        <w:separator/>
      </w:r>
    </w:p>
  </w:footnote>
  <w:footnote w:type="continuationSeparator" w:id="0">
    <w:p w:rsidR="0062208D" w:rsidRDefault="0062208D" w:rsidP="007433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644" w:rsidRDefault="00163644" w:rsidP="00163644">
    <w:pPr>
      <w:pStyle w:val="Nagwek"/>
      <w:jc w:val="center"/>
    </w:pPr>
    <w:r>
      <w:rPr>
        <w:noProof/>
        <w:lang w:eastAsia="pl-PL"/>
      </w:rPr>
      <w:drawing>
        <wp:inline distT="0" distB="0" distL="0" distR="0" wp14:anchorId="192246B1" wp14:editId="52FEA0BC">
          <wp:extent cx="2066925" cy="831711"/>
          <wp:effectExtent l="0" t="0" r="0" b="698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8317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A37BF"/>
    <w:multiLevelType w:val="hybridMultilevel"/>
    <w:tmpl w:val="B8AC3230"/>
    <w:lvl w:ilvl="0" w:tplc="FCE222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451172"/>
    <w:multiLevelType w:val="hybridMultilevel"/>
    <w:tmpl w:val="E7EE38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13117"/>
    <w:multiLevelType w:val="hybridMultilevel"/>
    <w:tmpl w:val="EE5CCE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AC04EE"/>
    <w:multiLevelType w:val="hybridMultilevel"/>
    <w:tmpl w:val="208295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8F0CCF"/>
    <w:multiLevelType w:val="hybridMultilevel"/>
    <w:tmpl w:val="385683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C87B38"/>
    <w:multiLevelType w:val="hybridMultilevel"/>
    <w:tmpl w:val="3FCA7B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2E176E"/>
    <w:multiLevelType w:val="hybridMultilevel"/>
    <w:tmpl w:val="2482DA92"/>
    <w:lvl w:ilvl="0" w:tplc="FCE222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5C3458"/>
    <w:multiLevelType w:val="hybridMultilevel"/>
    <w:tmpl w:val="D1F0775E"/>
    <w:lvl w:ilvl="0" w:tplc="6D42FAD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0E2E64"/>
    <w:multiLevelType w:val="hybridMultilevel"/>
    <w:tmpl w:val="CDD054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66172E"/>
    <w:multiLevelType w:val="hybridMultilevel"/>
    <w:tmpl w:val="732E16CC"/>
    <w:lvl w:ilvl="0" w:tplc="FCE222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B463B8"/>
    <w:multiLevelType w:val="hybridMultilevel"/>
    <w:tmpl w:val="818657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CE30FB"/>
    <w:multiLevelType w:val="hybridMultilevel"/>
    <w:tmpl w:val="7EC847B2"/>
    <w:lvl w:ilvl="0" w:tplc="DF6EFE3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C94522"/>
    <w:multiLevelType w:val="hybridMultilevel"/>
    <w:tmpl w:val="60E6E5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7"/>
  </w:num>
  <w:num w:numId="6">
    <w:abstractNumId w:val="1"/>
  </w:num>
  <w:num w:numId="7">
    <w:abstractNumId w:val="8"/>
  </w:num>
  <w:num w:numId="8">
    <w:abstractNumId w:val="5"/>
  </w:num>
  <w:num w:numId="9">
    <w:abstractNumId w:val="2"/>
  </w:num>
  <w:num w:numId="10">
    <w:abstractNumId w:val="3"/>
  </w:num>
  <w:num w:numId="11">
    <w:abstractNumId w:val="12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A7F"/>
    <w:rsid w:val="0013671E"/>
    <w:rsid w:val="00163644"/>
    <w:rsid w:val="001B7DDC"/>
    <w:rsid w:val="0062208D"/>
    <w:rsid w:val="0074337C"/>
    <w:rsid w:val="007C2A7F"/>
    <w:rsid w:val="00833DD0"/>
    <w:rsid w:val="00956AA6"/>
    <w:rsid w:val="00B84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36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1B7DD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74337C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4337C"/>
  </w:style>
  <w:style w:type="paragraph" w:styleId="Stopka">
    <w:name w:val="footer"/>
    <w:basedOn w:val="Normalny"/>
    <w:link w:val="StopkaZnak"/>
    <w:uiPriority w:val="99"/>
    <w:unhideWhenUsed/>
    <w:rsid w:val="0074337C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74337C"/>
  </w:style>
  <w:style w:type="paragraph" w:customStyle="1" w:styleId="Default">
    <w:name w:val="Default"/>
    <w:rsid w:val="001367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rsid w:val="001636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6364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3644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36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1B7DD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74337C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4337C"/>
  </w:style>
  <w:style w:type="paragraph" w:styleId="Stopka">
    <w:name w:val="footer"/>
    <w:basedOn w:val="Normalny"/>
    <w:link w:val="StopkaZnak"/>
    <w:uiPriority w:val="99"/>
    <w:unhideWhenUsed/>
    <w:rsid w:val="0074337C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74337C"/>
  </w:style>
  <w:style w:type="paragraph" w:customStyle="1" w:styleId="Default">
    <w:name w:val="Default"/>
    <w:rsid w:val="001367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rsid w:val="001636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6364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3644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1180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 Kierzkowski</dc:creator>
  <cp:lastModifiedBy>Damian Kierzkowski</cp:lastModifiedBy>
  <cp:revision>2</cp:revision>
  <dcterms:created xsi:type="dcterms:W3CDTF">2012-10-25T08:30:00Z</dcterms:created>
  <dcterms:modified xsi:type="dcterms:W3CDTF">2012-10-25T08:30:00Z</dcterms:modified>
</cp:coreProperties>
</file>